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济南市济阳区2022年政府信息公开工作</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年度报告</w:t>
      </w:r>
    </w:p>
    <w:p>
      <w:pPr>
        <w:pStyle w:val="2"/>
      </w:pPr>
    </w:p>
    <w:p>
      <w:pPr>
        <w:spacing w:line="560" w:lineRule="exact"/>
        <w:ind w:firstLine="640" w:firstLineChars="200"/>
        <w:rPr>
          <w:kern w:val="0"/>
        </w:rPr>
      </w:pPr>
      <w:r>
        <w:rPr>
          <w:rFonts w:hint="eastAsia"/>
          <w:kern w:val="0"/>
        </w:rPr>
        <w:t>本年度报告根据《中华人民共和国政府信息公开条例》和《国务院办公厅政府信息与政务公开办公室关于印发&lt;中华人民共和国政府信息公开工作年度报告格式&gt;的通知》（国办公开办函〔2021〕30号）相关要求编制，内容包括总体情况、主动公开政府信息情况、收到和处理政府信息公开申请情况、政府信息公开行政复议和行政诉讼情况、存在的主要问题及改进情况、其他需要报告的事项等六个部分。本年度报告中所列数据统计期限从2022年1月1日到2022年12月31日。我区将于2023年2月20日前在济南市济阳区人民政府门户网站（www.jiyang.gov.cn）对本报告予以公布。如对本报告有疑问，请与济南市济阳区人民政府办公室联系(地址:济南市济阳区开元大街129号政务中心三楼,邮政编码:251400,电话:0531-84232793,邮箱:jyqzfbgszwgkk@jn.shandong.cn)。</w:t>
      </w:r>
    </w:p>
    <w:p>
      <w:pPr>
        <w:spacing w:line="560" w:lineRule="exact"/>
        <w:ind w:firstLine="640" w:firstLineChars="200"/>
        <w:rPr>
          <w:rFonts w:ascii="黑体" w:hAnsi="黑体" w:eastAsia="黑体" w:cs="黑体"/>
          <w:kern w:val="0"/>
        </w:rPr>
      </w:pPr>
      <w:r>
        <w:rPr>
          <w:rFonts w:hint="eastAsia" w:ascii="黑体" w:hAnsi="黑体" w:eastAsia="黑体" w:cs="黑体"/>
          <w:kern w:val="0"/>
        </w:rPr>
        <w:t>一、总体情况</w:t>
      </w:r>
    </w:p>
    <w:p>
      <w:pPr>
        <w:spacing w:line="560" w:lineRule="exact"/>
        <w:ind w:firstLine="640" w:firstLineChars="200"/>
      </w:pPr>
      <w:r>
        <w:rPr>
          <w:rFonts w:hint="eastAsia" w:hAnsi="仿宋_GB2312" w:cs="仿宋_GB2312"/>
        </w:rPr>
        <w:t>2022年，济阳区认真落实省、市各项有关部署，围绕全区中心工作和重点任务，紧扣主动公开、依申请公开、平台建设、政民互动、制度完善五大方面，进一步推动政府信息公开标准化、规范化、法治化建设，充分释放政府信息活力，深化政民互动，持续完善民主参与、民主决策和民主监督，全面推进法治政府建设和“阳光政府”建设。</w:t>
      </w:r>
    </w:p>
    <w:p>
      <w:pPr>
        <w:spacing w:line="560" w:lineRule="exact"/>
        <w:ind w:firstLine="640" w:firstLineChars="200"/>
        <w:rPr>
          <w:rFonts w:ascii="楷体_GB2312" w:hAnsi="楷体_GB2312" w:eastAsia="楷体_GB2312" w:cs="楷体_GB2312"/>
        </w:rPr>
      </w:pPr>
      <w:r>
        <w:rPr>
          <w:rFonts w:hint="eastAsia" w:ascii="楷体_GB2312" w:hAnsi="楷体_GB2312" w:eastAsia="楷体_GB2312" w:cs="楷体_GB2312"/>
        </w:rPr>
        <w:t>（一）政府信息主动公开情况</w:t>
      </w:r>
    </w:p>
    <w:p>
      <w:pPr>
        <w:spacing w:line="560" w:lineRule="exact"/>
        <w:ind w:firstLine="640" w:firstLineChars="200"/>
        <w:rPr>
          <w:rFonts w:hAnsi="仿宋_GB2312" w:cs="仿宋_GB2312"/>
        </w:rPr>
      </w:pPr>
      <w:r>
        <w:rPr>
          <w:rFonts w:hint="eastAsia" w:hAnsi="仿宋_GB2312" w:cs="仿宋_GB2312"/>
        </w:rPr>
        <w:t>1．推进年度重点任务信息公开。一是推进科技主体培育、创新平台建设、人才培育、科技成果转化等信息公开。二是推进特色步行街、商贸综合体等黄河北区域性消费中心建设信息公开。三是推进优企惠企、“放管服”改革、行政权力调整等信息公开。2．推进重大决策事项信息公开。一是规范发布重大决策事项目录。二是做好信息预公开。三是持续跟进意见征集与反馈，完善民主参与和民主决策的机制保障。3．推进疫情防控信息公开。一是做好专栏集中公开，及时更新咨询热线、发热门诊、核酸检测机构、集中隔离区域等关键信息。二是拓展公开渠道，及时转载国家卫健委和各级疫情防控指挥部权威信息。三是深化基层公开，在各社区、村居等核酸检测场所广播疫情防控最新要求和医疗常识，提醒群众做好自我防护。4．推进民生领域信息公开。一是细化信息分类，新增“涉农补贴”“稳岗就业”等专栏，调整“社会福利”“社会保险”“市场监管”“食品药品监管”等专栏。二是提升信息质量，将监管检查、资金补贴等应定期公开的信息，由按年、季度公开优化为按月公开，方便群众掌握真实情况。</w:t>
      </w:r>
    </w:p>
    <w:p>
      <w:pPr>
        <w:jc w:val="center"/>
        <w:rPr>
          <w:rFonts w:hAnsi="仿宋_GB2312" w:cs="仿宋_GB2312"/>
        </w:rPr>
      </w:pPr>
      <w:r>
        <w:rPr>
          <w:rFonts w:hint="eastAsia" w:hAnsi="仿宋_GB2312" w:cs="仿宋_GB2312"/>
        </w:rPr>
        <w:drawing>
          <wp:inline distT="0" distB="0" distL="0" distR="0">
            <wp:extent cx="2266950" cy="1990725"/>
            <wp:effectExtent l="19050" t="19050" r="19050" b="28575"/>
            <wp:docPr id="7" name="图片 52" descr="1"/>
            <wp:cNvGraphicFramePr/>
            <a:graphic xmlns:a="http://schemas.openxmlformats.org/drawingml/2006/main">
              <a:graphicData uri="http://schemas.openxmlformats.org/drawingml/2006/picture">
                <pic:pic xmlns:pic="http://schemas.openxmlformats.org/drawingml/2006/picture">
                  <pic:nvPicPr>
                    <pic:cNvPr id="7" name="图片 52" descr="1"/>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266950" cy="1990725"/>
                    </a:xfrm>
                    <a:prstGeom prst="rect">
                      <a:avLst/>
                    </a:prstGeom>
                    <a:noFill/>
                    <a:ln>
                      <a:solidFill>
                        <a:schemeClr val="tx1"/>
                      </a:solidFill>
                    </a:ln>
                  </pic:spPr>
                </pic:pic>
              </a:graphicData>
            </a:graphic>
          </wp:inline>
        </w:drawing>
      </w:r>
      <w:r>
        <w:rPr>
          <w:rFonts w:hint="eastAsia" w:hAnsi="仿宋_GB2312" w:cs="仿宋_GB2312"/>
        </w:rPr>
        <w:drawing>
          <wp:inline distT="0" distB="0" distL="0" distR="0">
            <wp:extent cx="2352675" cy="1981200"/>
            <wp:effectExtent l="19050" t="19050" r="28575" b="19050"/>
            <wp:docPr id="2" name="图片 55" descr="1"/>
            <wp:cNvGraphicFramePr/>
            <a:graphic xmlns:a="http://schemas.openxmlformats.org/drawingml/2006/main">
              <a:graphicData uri="http://schemas.openxmlformats.org/drawingml/2006/picture">
                <pic:pic xmlns:pic="http://schemas.openxmlformats.org/drawingml/2006/picture">
                  <pic:nvPicPr>
                    <pic:cNvPr id="2" name="图片 55" descr="1"/>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52675" cy="1981200"/>
                    </a:xfrm>
                    <a:prstGeom prst="rect">
                      <a:avLst/>
                    </a:prstGeom>
                    <a:noFill/>
                    <a:ln>
                      <a:solidFill>
                        <a:schemeClr val="tx1"/>
                      </a:solidFill>
                    </a:ln>
                    <a:effectLst/>
                  </pic:spPr>
                </pic:pic>
              </a:graphicData>
            </a:graphic>
          </wp:inline>
        </w:drawing>
      </w:r>
      <w:r>
        <w:rPr>
          <w:rFonts w:hint="eastAsia" w:hAnsi="仿宋_GB2312" w:cs="仿宋_GB2312"/>
        </w:rPr>
        <w:drawing>
          <wp:inline distT="0" distB="0" distL="0" distR="0">
            <wp:extent cx="4171950" cy="2695575"/>
            <wp:effectExtent l="19050" t="19050" r="19050" b="28575"/>
            <wp:docPr id="3" name="图片 51" descr="1"/>
            <wp:cNvGraphicFramePr/>
            <a:graphic xmlns:a="http://schemas.openxmlformats.org/drawingml/2006/main">
              <a:graphicData uri="http://schemas.openxmlformats.org/drawingml/2006/picture">
                <pic:pic xmlns:pic="http://schemas.openxmlformats.org/drawingml/2006/picture">
                  <pic:nvPicPr>
                    <pic:cNvPr id="3" name="图片 51" descr="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71950" cy="2695575"/>
                    </a:xfrm>
                    <a:prstGeom prst="rect">
                      <a:avLst/>
                    </a:prstGeom>
                    <a:noFill/>
                    <a:ln>
                      <a:solidFill>
                        <a:schemeClr val="tx1"/>
                      </a:solidFill>
                    </a:ln>
                    <a:effectLst/>
                  </pic:spPr>
                </pic:pic>
              </a:graphicData>
            </a:graphic>
          </wp:inline>
        </w:drawing>
      </w:r>
    </w:p>
    <w:p>
      <w:pPr>
        <w:pStyle w:val="12"/>
        <w:spacing w:line="560" w:lineRule="exact"/>
        <w:ind w:firstLine="640"/>
        <w:rPr>
          <w:rFonts w:ascii="楷体_GB2312" w:hAnsi="楷体_GB2312" w:eastAsia="楷体_GB2312" w:cs="楷体_GB2312"/>
          <w:kern w:val="0"/>
        </w:rPr>
      </w:pPr>
      <w:r>
        <w:rPr>
          <w:rFonts w:hint="eastAsia" w:ascii="楷体_GB2312" w:hAnsi="楷体_GB2312" w:eastAsia="楷体_GB2312" w:cs="楷体_GB2312"/>
          <w:kern w:val="0"/>
        </w:rPr>
        <w:t>（二）依申请公开情况</w:t>
      </w:r>
    </w:p>
    <w:p>
      <w:pPr>
        <w:spacing w:line="560" w:lineRule="exact"/>
        <w:ind w:firstLine="640" w:firstLineChars="200"/>
        <w:rPr>
          <w:rFonts w:hAnsi="仿宋_GB2312" w:cs="仿宋_GB2312"/>
        </w:rPr>
      </w:pPr>
      <w:r>
        <w:rPr>
          <w:rFonts w:hint="eastAsia" w:hAnsi="仿宋_GB2312" w:cs="仿宋_GB2312"/>
        </w:rPr>
        <w:t>2022年，全区共接收和办理政府信息公开申请184件，其中予以公开52件，占比28.26%，部分公开33件，占比17.93%，不予公开5件，占比2.72%，无法提供83件，占比45.11%，其他处理11件，占比5.98%。以上所有申请共收取信息处理费0元。</w:t>
      </w:r>
    </w:p>
    <w:p>
      <w:pPr>
        <w:pStyle w:val="2"/>
        <w:jc w:val="center"/>
        <w:rPr>
          <w:sz w:val="32"/>
          <w:szCs w:val="32"/>
        </w:rPr>
      </w:pPr>
      <w:r>
        <w:rPr>
          <w:rFonts w:hint="eastAsia"/>
          <w:sz w:val="32"/>
          <w:szCs w:val="32"/>
        </w:rPr>
        <w:drawing>
          <wp:inline distT="0" distB="0" distL="0" distR="0">
            <wp:extent cx="3714750" cy="2933700"/>
            <wp:effectExtent l="19050" t="19050" r="19050" b="19050"/>
            <wp:docPr id="4" name="图片 44" descr="依申请公开占比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依申请公开占比情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14750" cy="2933700"/>
                    </a:xfrm>
                    <a:prstGeom prst="rect">
                      <a:avLst/>
                    </a:prstGeom>
                    <a:noFill/>
                    <a:ln>
                      <a:solidFill>
                        <a:schemeClr val="tx1"/>
                      </a:solidFill>
                    </a:ln>
                    <a:effectLst/>
                  </pic:spPr>
                </pic:pic>
              </a:graphicData>
            </a:graphic>
          </wp:inline>
        </w:drawing>
      </w:r>
    </w:p>
    <w:p>
      <w:pPr>
        <w:spacing w:line="560" w:lineRule="exact"/>
        <w:ind w:firstLine="640" w:firstLineChars="200"/>
        <w:rPr>
          <w:rFonts w:ascii="楷体_GB2312" w:hAnsi="黑体" w:eastAsia="楷体_GB2312" w:cs="黑体"/>
        </w:rPr>
      </w:pPr>
      <w:r>
        <w:rPr>
          <w:rFonts w:hint="eastAsia" w:ascii="楷体_GB2312" w:eastAsia="楷体_GB2312"/>
          <w:kern w:val="0"/>
        </w:rPr>
        <w:t>（三）</w:t>
      </w:r>
      <w:r>
        <w:rPr>
          <w:rFonts w:hint="eastAsia" w:ascii="楷体_GB2312" w:hAnsi="黑体" w:eastAsia="楷体_GB2312" w:cs="黑体"/>
        </w:rPr>
        <w:t>平台建设情况</w:t>
      </w:r>
    </w:p>
    <w:p>
      <w:pPr>
        <w:spacing w:line="560" w:lineRule="exact"/>
        <w:ind w:firstLine="640" w:firstLineChars="200"/>
        <w:rPr>
          <w:rFonts w:hAnsi="仿宋_GB2312" w:cs="仿宋_GB2312"/>
        </w:rPr>
      </w:pPr>
      <w:r>
        <w:rPr>
          <w:rFonts w:hint="eastAsia" w:hAnsi="仿宋_GB2312" w:cs="仿宋_GB2312"/>
        </w:rPr>
        <w:t>一是接入市级平台，引入“济南市融公开平台”，进一步优化网站结构调整、栏目建设、特色设置等功能。二是优化特色专栏，增设“扩大有效投资”“优化营商环境”“涉农补贴”等栏目。三是建设政府工作报告专栏，建设“2022年政府工作报告”专栏，模块化展示2022年政府重点工作任务、责任部门、进展情况等内容，全面接受民主监督。</w:t>
      </w:r>
    </w:p>
    <w:p>
      <w:pPr>
        <w:jc w:val="center"/>
        <w:rPr>
          <w:rFonts w:hAnsi="仿宋_GB2312" w:cs="仿宋_GB2312"/>
        </w:rPr>
      </w:pPr>
      <w:r>
        <w:rPr>
          <w:rFonts w:hint="eastAsia" w:hAnsi="仿宋_GB2312" w:cs="仿宋_GB2312"/>
        </w:rPr>
        <w:drawing>
          <wp:inline distT="0" distB="0" distL="0" distR="0">
            <wp:extent cx="2400300" cy="2133600"/>
            <wp:effectExtent l="19050" t="19050" r="19050" b="19050"/>
            <wp:docPr id="5" name="图片 40" descr="1"/>
            <wp:cNvGraphicFramePr/>
            <a:graphic xmlns:a="http://schemas.openxmlformats.org/drawingml/2006/main">
              <a:graphicData uri="http://schemas.openxmlformats.org/drawingml/2006/picture">
                <pic:pic xmlns:pic="http://schemas.openxmlformats.org/drawingml/2006/picture">
                  <pic:nvPicPr>
                    <pic:cNvPr id="5" name="图片 40" descr="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0300" cy="2133600"/>
                    </a:xfrm>
                    <a:prstGeom prst="rect">
                      <a:avLst/>
                    </a:prstGeom>
                    <a:noFill/>
                    <a:ln>
                      <a:solidFill>
                        <a:schemeClr val="tx1"/>
                      </a:solidFill>
                    </a:ln>
                    <a:effectLst/>
                  </pic:spPr>
                </pic:pic>
              </a:graphicData>
            </a:graphic>
          </wp:inline>
        </w:drawing>
      </w:r>
      <w:r>
        <w:rPr>
          <w:rFonts w:hint="eastAsia" w:hAnsi="仿宋_GB2312" w:cs="仿宋_GB2312"/>
        </w:rPr>
        <w:t xml:space="preserve"> </w:t>
      </w:r>
      <w:r>
        <w:rPr>
          <w:rFonts w:hint="eastAsia" w:hAnsi="仿宋_GB2312" w:cs="仿宋_GB2312"/>
        </w:rPr>
        <w:drawing>
          <wp:inline distT="0" distB="0" distL="0" distR="0">
            <wp:extent cx="2933700" cy="2133600"/>
            <wp:effectExtent l="19050" t="19050" r="19050" b="19050"/>
            <wp:docPr id="6" name="图片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3700" cy="2133600"/>
                    </a:xfrm>
                    <a:prstGeom prst="rect">
                      <a:avLst/>
                    </a:prstGeom>
                    <a:noFill/>
                    <a:ln>
                      <a:solidFill>
                        <a:schemeClr val="tx1"/>
                      </a:solidFill>
                    </a:ln>
                    <a:effectLst/>
                  </pic:spPr>
                </pic:pic>
              </a:graphicData>
            </a:graphic>
          </wp:inline>
        </w:drawing>
      </w:r>
    </w:p>
    <w:p>
      <w:pPr>
        <w:pStyle w:val="12"/>
        <w:spacing w:line="560" w:lineRule="exact"/>
        <w:ind w:firstLine="640"/>
        <w:rPr>
          <w:rFonts w:ascii="楷体_GB2312" w:hAnsi="楷体_GB2312" w:eastAsia="楷体_GB2312" w:cs="楷体_GB2312"/>
          <w:kern w:val="0"/>
        </w:rPr>
      </w:pPr>
      <w:r>
        <w:rPr>
          <w:rFonts w:hint="eastAsia" w:ascii="楷体_GB2312" w:hAnsi="楷体_GB2312" w:eastAsia="楷体_GB2312" w:cs="楷体_GB2312"/>
          <w:kern w:val="0"/>
        </w:rPr>
        <w:t>（四）政府信息管理情况</w:t>
      </w:r>
    </w:p>
    <w:p>
      <w:pPr>
        <w:spacing w:line="560" w:lineRule="exact"/>
        <w:ind w:firstLine="640" w:firstLineChars="200"/>
        <w:rPr>
          <w:rFonts w:hAnsi="仿宋_GB2312" w:cs="仿宋_GB2312"/>
        </w:rPr>
      </w:pPr>
      <w:r>
        <w:rPr>
          <w:rFonts w:hint="eastAsia" w:hAnsi="仿宋_GB2312" w:cs="仿宋_GB2312"/>
        </w:rPr>
        <w:t>一是强化法制审查，结合法治政府建设要求，各部门统一加强主动公开信息的法制审查环节，确保所有信息合法、合规、合情、合理公开。二是完善依申请公开机制，进一步强调各部门“统一主管科室，统一办理流程，统一答复口径”，彻底消除个别部门职责划分不明、办理流程不清、答复口径不一等乱象。</w:t>
      </w:r>
    </w:p>
    <w:p>
      <w:pPr>
        <w:pStyle w:val="12"/>
        <w:spacing w:line="560" w:lineRule="exact"/>
        <w:ind w:firstLine="640"/>
        <w:rPr>
          <w:rFonts w:ascii="楷体_GB2312" w:hAnsi="楷体_GB2312" w:eastAsia="楷体_GB2312" w:cs="楷体_GB2312"/>
          <w:kern w:val="0"/>
        </w:rPr>
      </w:pPr>
      <w:r>
        <w:rPr>
          <w:rFonts w:hint="eastAsia" w:ascii="楷体_GB2312" w:hAnsi="楷体_GB2312" w:eastAsia="楷体_GB2312" w:cs="楷体_GB2312"/>
          <w:kern w:val="0"/>
        </w:rPr>
        <w:t>（五）监督保障情况</w:t>
      </w:r>
    </w:p>
    <w:p>
      <w:pPr>
        <w:spacing w:line="560" w:lineRule="exact"/>
        <w:ind w:firstLine="640" w:firstLineChars="200"/>
        <w:rPr>
          <w:rFonts w:hAnsi="仿宋_GB2312" w:cs="仿宋_GB2312"/>
        </w:rPr>
      </w:pPr>
      <w:r>
        <w:rPr>
          <w:rFonts w:hint="eastAsia" w:hAnsi="仿宋_GB2312" w:cs="仿宋_GB2312"/>
        </w:rPr>
        <w:t>一是注重培训学习，强化素质提升。组织专项培训，组织开展政务公开暨机关办公能力提升培训。开展新平台使用培训，让参训人员尽快掌握新平台使用。二是细化责任分工，压牢压实责任。实行台账管理，细化任务分工，出台《2022年济南市济阳区政务公开工作要点》。二是优化考核方式，使调整后的考核加强结果导向和需求导向，更加注重公开实效和社会评价。</w:t>
      </w:r>
    </w:p>
    <w:p>
      <w:pPr>
        <w:pStyle w:val="12"/>
        <w:spacing w:line="560" w:lineRule="exact"/>
        <w:ind w:firstLine="640"/>
        <w:rPr>
          <w:rFonts w:ascii="黑体" w:hAnsi="黑体" w:eastAsia="黑体"/>
          <w:kern w:val="0"/>
        </w:rPr>
      </w:pPr>
      <w:r>
        <w:rPr>
          <w:rFonts w:hint="eastAsia" w:ascii="黑体" w:hAnsi="黑体" w:eastAsia="黑体"/>
          <w:kern w:val="0"/>
        </w:rPr>
        <w:t>二、主动公开政府信息情况</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0"/>
        <w:gridCol w:w="2399"/>
        <w:gridCol w:w="2160"/>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4"/>
            <w:shd w:val="clear" w:color="auto" w:fill="B8CCE4"/>
            <w:tcMar>
              <w:top w:w="57" w:type="dxa"/>
              <w:left w:w="108" w:type="dxa"/>
              <w:bottom w:w="57" w:type="dxa"/>
              <w:right w:w="108" w:type="dxa"/>
            </w:tcMar>
            <w:vAlign w:val="center"/>
          </w:tcPr>
          <w:p>
            <w:pPr>
              <w:pStyle w:val="12"/>
              <w:tabs>
                <w:tab w:val="left" w:pos="3996"/>
              </w:tabs>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信息内容</w:t>
            </w:r>
          </w:p>
        </w:tc>
        <w:tc>
          <w:tcPr>
            <w:tcW w:w="2399"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本年</w:t>
            </w:r>
            <w:r>
              <w:rPr>
                <w:rFonts w:hint="eastAsia" w:hAnsi="仿宋_GB2312" w:cs="仿宋_GB2312"/>
                <w:color w:val="333333"/>
                <w:kern w:val="0"/>
                <w:sz w:val="28"/>
                <w:szCs w:val="28"/>
                <w:lang w:bidi="ar"/>
              </w:rPr>
              <w:t>制发件数</w:t>
            </w:r>
          </w:p>
        </w:tc>
        <w:tc>
          <w:tcPr>
            <w:tcW w:w="216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本年废止件数</w:t>
            </w:r>
          </w:p>
        </w:tc>
        <w:tc>
          <w:tcPr>
            <w:tcW w:w="2161"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现行有效件</w:t>
            </w:r>
            <w:r>
              <w:rPr>
                <w:rFonts w:hint="eastAsia" w:hAnsi="仿宋_GB2312" w:cs="仿宋_GB2312"/>
                <w:color w:val="333333"/>
                <w:kern w:val="0"/>
                <w:sz w:val="28"/>
                <w:szCs w:val="28"/>
                <w:lang w:bidi="ar"/>
              </w:rPr>
              <w:t>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规章</w:t>
            </w:r>
          </w:p>
        </w:tc>
        <w:tc>
          <w:tcPr>
            <w:tcW w:w="2399"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0</w:t>
            </w:r>
          </w:p>
        </w:tc>
        <w:tc>
          <w:tcPr>
            <w:tcW w:w="216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0</w:t>
            </w:r>
          </w:p>
        </w:tc>
        <w:tc>
          <w:tcPr>
            <w:tcW w:w="2161"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行政规范性文件</w:t>
            </w:r>
          </w:p>
        </w:tc>
        <w:tc>
          <w:tcPr>
            <w:tcW w:w="2399" w:type="dxa"/>
            <w:tcMar>
              <w:top w:w="57" w:type="dxa"/>
              <w:left w:w="108" w:type="dxa"/>
              <w:bottom w:w="57" w:type="dxa"/>
              <w:right w:w="108" w:type="dxa"/>
            </w:tcMar>
            <w:vAlign w:val="center"/>
          </w:tcPr>
          <w:p>
            <w:pPr>
              <w:spacing w:line="400" w:lineRule="exact"/>
              <w:jc w:val="center"/>
              <w:rPr>
                <w:rFonts w:hAnsi="仿宋_GB2312" w:cs="仿宋_GB2312"/>
                <w:kern w:val="0"/>
                <w:sz w:val="28"/>
                <w:szCs w:val="28"/>
              </w:rPr>
            </w:pPr>
            <w:r>
              <w:rPr>
                <w:rFonts w:hint="eastAsia" w:hAnsi="仿宋_GB2312" w:cs="仿宋_GB2312"/>
                <w:kern w:val="0"/>
                <w:sz w:val="28"/>
                <w:szCs w:val="28"/>
              </w:rPr>
              <w:t>0</w:t>
            </w:r>
          </w:p>
        </w:tc>
        <w:tc>
          <w:tcPr>
            <w:tcW w:w="2160" w:type="dxa"/>
            <w:tcMar>
              <w:top w:w="57" w:type="dxa"/>
              <w:left w:w="108" w:type="dxa"/>
              <w:bottom w:w="57" w:type="dxa"/>
              <w:right w:w="108" w:type="dxa"/>
            </w:tcMar>
            <w:vAlign w:val="center"/>
          </w:tcPr>
          <w:p>
            <w:pPr>
              <w:spacing w:line="400" w:lineRule="exact"/>
              <w:jc w:val="center"/>
              <w:rPr>
                <w:rFonts w:hAnsi="仿宋_GB2312" w:cs="仿宋_GB2312"/>
                <w:kern w:val="0"/>
                <w:sz w:val="28"/>
                <w:szCs w:val="28"/>
              </w:rPr>
            </w:pPr>
            <w:r>
              <w:rPr>
                <w:rFonts w:hint="eastAsia" w:hAnsi="仿宋_GB2312" w:cs="仿宋_GB2312"/>
                <w:kern w:val="0"/>
                <w:sz w:val="28"/>
                <w:szCs w:val="28"/>
              </w:rPr>
              <w:t>0</w:t>
            </w:r>
          </w:p>
        </w:tc>
        <w:tc>
          <w:tcPr>
            <w:tcW w:w="2161" w:type="dxa"/>
            <w:tcMar>
              <w:top w:w="57" w:type="dxa"/>
              <w:left w:w="108" w:type="dxa"/>
              <w:bottom w:w="57" w:type="dxa"/>
              <w:right w:w="108" w:type="dxa"/>
            </w:tcMar>
            <w:vAlign w:val="center"/>
          </w:tcPr>
          <w:p>
            <w:pPr>
              <w:spacing w:line="400" w:lineRule="exact"/>
              <w:jc w:val="center"/>
              <w:rPr>
                <w:rFonts w:hAnsi="仿宋_GB2312" w:cs="仿宋_GB2312"/>
                <w:kern w:val="0"/>
                <w:sz w:val="28"/>
                <w:szCs w:val="28"/>
              </w:rPr>
            </w:pPr>
            <w:r>
              <w:rPr>
                <w:rFonts w:hint="eastAsia" w:hAnsi="仿宋_GB2312" w:cs="仿宋_GB2312"/>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4"/>
            <w:shd w:val="clear" w:color="auto" w:fill="B8CCE4"/>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信息内容</w:t>
            </w:r>
          </w:p>
        </w:tc>
        <w:tc>
          <w:tcPr>
            <w:tcW w:w="6720" w:type="dxa"/>
            <w:gridSpan w:val="3"/>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行政许可</w:t>
            </w:r>
          </w:p>
        </w:tc>
        <w:tc>
          <w:tcPr>
            <w:tcW w:w="6720" w:type="dxa"/>
            <w:gridSpan w:val="3"/>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13307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4"/>
            <w:shd w:val="clear" w:color="auto" w:fill="B8CCE4"/>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信息内容</w:t>
            </w:r>
          </w:p>
        </w:tc>
        <w:tc>
          <w:tcPr>
            <w:tcW w:w="6720" w:type="dxa"/>
            <w:gridSpan w:val="3"/>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color w:val="000000"/>
                <w:kern w:val="0"/>
                <w:sz w:val="28"/>
                <w:szCs w:val="28"/>
                <w:lang w:bidi="ar"/>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行政处罚</w:t>
            </w:r>
          </w:p>
        </w:tc>
        <w:tc>
          <w:tcPr>
            <w:tcW w:w="6720" w:type="dxa"/>
            <w:gridSpan w:val="3"/>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行政强制</w:t>
            </w:r>
          </w:p>
        </w:tc>
        <w:tc>
          <w:tcPr>
            <w:tcW w:w="6720" w:type="dxa"/>
            <w:gridSpan w:val="3"/>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0" w:type="dxa"/>
            <w:gridSpan w:val="4"/>
            <w:shd w:val="clear" w:color="auto" w:fill="B8CCE4"/>
            <w:tcMar>
              <w:top w:w="57" w:type="dxa"/>
              <w:left w:w="108" w:type="dxa"/>
              <w:bottom w:w="57" w:type="dxa"/>
              <w:right w:w="108" w:type="dxa"/>
            </w:tcMar>
            <w:vAlign w:val="center"/>
          </w:tcPr>
          <w:p>
            <w:pPr>
              <w:pStyle w:val="12"/>
              <w:spacing w:line="400" w:lineRule="exact"/>
              <w:ind w:firstLine="0" w:firstLineChars="0"/>
              <w:jc w:val="center"/>
              <w:rPr>
                <w:rFonts w:hAnsi="仿宋_GB2312" w:cs="仿宋_GB2312"/>
                <w:kern w:val="0"/>
                <w:sz w:val="28"/>
                <w:szCs w:val="28"/>
              </w:rPr>
            </w:pPr>
            <w:r>
              <w:rPr>
                <w:rFonts w:hint="eastAsia" w:hAnsi="仿宋_GB2312" w:cs="仿宋_GB2312"/>
                <w:kern w:val="0"/>
                <w:sz w:val="28"/>
                <w:szCs w:val="28"/>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信息内容</w:t>
            </w:r>
          </w:p>
        </w:tc>
        <w:tc>
          <w:tcPr>
            <w:tcW w:w="6720" w:type="dxa"/>
            <w:gridSpan w:val="3"/>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color w:val="000000"/>
                <w:kern w:val="0"/>
                <w:sz w:val="28"/>
                <w:szCs w:val="28"/>
                <w:lang w:bidi="ar"/>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40" w:type="dxa"/>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行政事业性收费</w:t>
            </w:r>
          </w:p>
        </w:tc>
        <w:tc>
          <w:tcPr>
            <w:tcW w:w="6720" w:type="dxa"/>
            <w:gridSpan w:val="3"/>
            <w:tcMar>
              <w:top w:w="57" w:type="dxa"/>
              <w:left w:w="108" w:type="dxa"/>
              <w:bottom w:w="57" w:type="dxa"/>
              <w:right w:w="108" w:type="dxa"/>
            </w:tcMar>
            <w:vAlign w:val="center"/>
          </w:tcPr>
          <w:p>
            <w:pPr>
              <w:widowControl/>
              <w:spacing w:line="400" w:lineRule="exact"/>
              <w:jc w:val="center"/>
              <w:rPr>
                <w:rFonts w:hAnsi="仿宋_GB2312" w:cs="仿宋_GB2312"/>
                <w:kern w:val="0"/>
                <w:sz w:val="28"/>
                <w:szCs w:val="28"/>
              </w:rPr>
            </w:pPr>
            <w:r>
              <w:rPr>
                <w:rFonts w:hint="eastAsia" w:hAnsi="仿宋_GB2312" w:cs="仿宋_GB2312"/>
                <w:kern w:val="0"/>
                <w:sz w:val="28"/>
                <w:szCs w:val="28"/>
              </w:rPr>
              <w:t>8388</w:t>
            </w:r>
          </w:p>
        </w:tc>
      </w:tr>
    </w:tbl>
    <w:p>
      <w:pPr>
        <w:pStyle w:val="12"/>
        <w:spacing w:line="560" w:lineRule="exact"/>
        <w:ind w:firstLine="640"/>
        <w:rPr>
          <w:rFonts w:ascii="黑体" w:hAnsi="黑体" w:eastAsia="黑体"/>
          <w:kern w:val="0"/>
        </w:rPr>
      </w:pPr>
      <w:r>
        <w:rPr>
          <w:rFonts w:hint="eastAsia" w:ascii="黑体" w:hAnsi="黑体" w:eastAsia="黑体"/>
          <w:kern w:val="0"/>
        </w:rPr>
        <w:t>三、收到和处理政府信息公开申请情况</w:t>
      </w:r>
    </w:p>
    <w:tbl>
      <w:tblPr>
        <w:tblStyle w:val="6"/>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1485"/>
        <w:gridCol w:w="2972"/>
        <w:gridCol w:w="890"/>
        <w:gridCol w:w="594"/>
        <w:gridCol w:w="594"/>
        <w:gridCol w:w="594"/>
        <w:gridCol w:w="594"/>
        <w:gridCol w:w="566"/>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154" w:type="dxa"/>
            <w:gridSpan w:val="3"/>
            <w:vMerge w:val="restart"/>
            <w:tcMar>
              <w:top w:w="57" w:type="dxa"/>
              <w:left w:w="108" w:type="dxa"/>
              <w:bottom w:w="57" w:type="dxa"/>
              <w:right w:w="108" w:type="dxa"/>
            </w:tcMar>
            <w:vAlign w:val="center"/>
          </w:tcPr>
          <w:p>
            <w:pPr>
              <w:spacing w:line="300" w:lineRule="exact"/>
              <w:jc w:val="center"/>
              <w:rPr>
                <w:kern w:val="0"/>
                <w:sz w:val="28"/>
                <w:szCs w:val="28"/>
              </w:rPr>
            </w:pPr>
            <w:r>
              <w:rPr>
                <w:rFonts w:hint="eastAsia"/>
                <w:kern w:val="0"/>
                <w:sz w:val="28"/>
                <w:szCs w:val="28"/>
              </w:rPr>
              <w:t>（本列数据的勾稽关系为：第一项加第二项之和，等于第三项加第四项之和）</w:t>
            </w:r>
          </w:p>
        </w:tc>
        <w:tc>
          <w:tcPr>
            <w:tcW w:w="4498" w:type="dxa"/>
            <w:gridSpan w:val="7"/>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5154" w:type="dxa"/>
            <w:gridSpan w:val="3"/>
            <w:vMerge w:val="continue"/>
            <w:tcMar>
              <w:top w:w="57" w:type="dxa"/>
              <w:left w:w="108" w:type="dxa"/>
              <w:bottom w:w="57" w:type="dxa"/>
              <w:right w:w="108" w:type="dxa"/>
            </w:tcMar>
            <w:vAlign w:val="center"/>
          </w:tcPr>
          <w:p>
            <w:pPr>
              <w:spacing w:line="300" w:lineRule="exact"/>
              <w:jc w:val="center"/>
              <w:rPr>
                <w:sz w:val="28"/>
                <w:szCs w:val="28"/>
              </w:rPr>
            </w:pPr>
          </w:p>
        </w:tc>
        <w:tc>
          <w:tcPr>
            <w:tcW w:w="890" w:type="dxa"/>
            <w:vMerge w:val="restart"/>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自然人</w:t>
            </w:r>
          </w:p>
        </w:tc>
        <w:tc>
          <w:tcPr>
            <w:tcW w:w="2942" w:type="dxa"/>
            <w:gridSpan w:val="5"/>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法人或其他组织</w:t>
            </w:r>
          </w:p>
        </w:tc>
        <w:tc>
          <w:tcPr>
            <w:tcW w:w="666" w:type="dxa"/>
            <w:vMerge w:val="restart"/>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1" w:hRule="atLeast"/>
          <w:jc w:val="center"/>
        </w:trPr>
        <w:tc>
          <w:tcPr>
            <w:tcW w:w="5154" w:type="dxa"/>
            <w:gridSpan w:val="3"/>
            <w:vMerge w:val="continue"/>
            <w:tcMar>
              <w:top w:w="57" w:type="dxa"/>
              <w:left w:w="108" w:type="dxa"/>
              <w:bottom w:w="57" w:type="dxa"/>
              <w:right w:w="108" w:type="dxa"/>
            </w:tcMar>
            <w:vAlign w:val="center"/>
          </w:tcPr>
          <w:p>
            <w:pPr>
              <w:spacing w:line="300" w:lineRule="exact"/>
              <w:jc w:val="center"/>
              <w:rPr>
                <w:sz w:val="28"/>
                <w:szCs w:val="28"/>
              </w:rPr>
            </w:pPr>
          </w:p>
        </w:tc>
        <w:tc>
          <w:tcPr>
            <w:tcW w:w="890" w:type="dxa"/>
            <w:vMerge w:val="continue"/>
            <w:tcMar>
              <w:top w:w="57" w:type="dxa"/>
              <w:left w:w="108" w:type="dxa"/>
              <w:bottom w:w="57" w:type="dxa"/>
              <w:right w:w="108" w:type="dxa"/>
            </w:tcMar>
            <w:vAlign w:val="center"/>
          </w:tcPr>
          <w:p>
            <w:pPr>
              <w:spacing w:line="300" w:lineRule="exact"/>
              <w:jc w:val="center"/>
              <w:rPr>
                <w:sz w:val="28"/>
                <w:szCs w:val="28"/>
              </w:rPr>
            </w:pPr>
          </w:p>
        </w:tc>
        <w:tc>
          <w:tcPr>
            <w:tcW w:w="594" w:type="dxa"/>
            <w:tcMar>
              <w:top w:w="57" w:type="dxa"/>
              <w:left w:w="108" w:type="dxa"/>
              <w:bottom w:w="57" w:type="dxa"/>
              <w:right w:w="108" w:type="dxa"/>
            </w:tcMar>
            <w:vAlign w:val="center"/>
          </w:tcPr>
          <w:p>
            <w:pPr>
              <w:spacing w:line="300" w:lineRule="exact"/>
              <w:ind w:hanging="1"/>
              <w:jc w:val="center"/>
              <w:rPr>
                <w:kern w:val="0"/>
                <w:sz w:val="28"/>
                <w:szCs w:val="28"/>
              </w:rPr>
            </w:pPr>
            <w:r>
              <w:rPr>
                <w:rFonts w:hint="eastAsia"/>
                <w:kern w:val="0"/>
                <w:sz w:val="28"/>
                <w:szCs w:val="28"/>
              </w:rPr>
              <w:t>商业</w:t>
            </w:r>
          </w:p>
          <w:p>
            <w:pPr>
              <w:spacing w:line="300" w:lineRule="exact"/>
              <w:ind w:hanging="1"/>
              <w:jc w:val="center"/>
              <w:rPr>
                <w:sz w:val="28"/>
                <w:szCs w:val="28"/>
              </w:rPr>
            </w:pPr>
            <w:r>
              <w:rPr>
                <w:rFonts w:hint="eastAsia"/>
                <w:kern w:val="0"/>
                <w:sz w:val="28"/>
                <w:szCs w:val="28"/>
              </w:rPr>
              <w:t>企业</w:t>
            </w:r>
          </w:p>
        </w:tc>
        <w:tc>
          <w:tcPr>
            <w:tcW w:w="594" w:type="dxa"/>
            <w:tcMar>
              <w:top w:w="57" w:type="dxa"/>
              <w:left w:w="108" w:type="dxa"/>
              <w:bottom w:w="57" w:type="dxa"/>
              <w:right w:w="108" w:type="dxa"/>
            </w:tcMar>
            <w:vAlign w:val="center"/>
          </w:tcPr>
          <w:p>
            <w:pPr>
              <w:spacing w:line="300" w:lineRule="exact"/>
              <w:jc w:val="center"/>
              <w:rPr>
                <w:kern w:val="0"/>
                <w:sz w:val="28"/>
                <w:szCs w:val="28"/>
              </w:rPr>
            </w:pPr>
            <w:r>
              <w:rPr>
                <w:rFonts w:hint="eastAsia"/>
                <w:kern w:val="0"/>
                <w:sz w:val="28"/>
                <w:szCs w:val="28"/>
              </w:rPr>
              <w:t>科研</w:t>
            </w:r>
          </w:p>
          <w:p>
            <w:pPr>
              <w:spacing w:line="300" w:lineRule="exact"/>
              <w:jc w:val="center"/>
              <w:rPr>
                <w:sz w:val="28"/>
                <w:szCs w:val="28"/>
              </w:rPr>
            </w:pPr>
            <w:r>
              <w:rPr>
                <w:rFonts w:hint="eastAsia"/>
                <w:kern w:val="0"/>
                <w:sz w:val="28"/>
                <w:szCs w:val="28"/>
              </w:rPr>
              <w:t>机构</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社会公益组织</w:t>
            </w:r>
          </w:p>
        </w:tc>
        <w:tc>
          <w:tcPr>
            <w:tcW w:w="594" w:type="dxa"/>
            <w:tcMar>
              <w:top w:w="57" w:type="dxa"/>
              <w:left w:w="108" w:type="dxa"/>
              <w:bottom w:w="57" w:type="dxa"/>
              <w:right w:w="108" w:type="dxa"/>
            </w:tcMar>
            <w:vAlign w:val="center"/>
          </w:tcPr>
          <w:p>
            <w:pPr>
              <w:spacing w:line="300" w:lineRule="exact"/>
              <w:ind w:hanging="1"/>
              <w:jc w:val="center"/>
              <w:rPr>
                <w:sz w:val="28"/>
                <w:szCs w:val="28"/>
              </w:rPr>
            </w:pPr>
            <w:r>
              <w:rPr>
                <w:rFonts w:hint="eastAsia"/>
                <w:kern w:val="0"/>
                <w:sz w:val="28"/>
                <w:szCs w:val="28"/>
              </w:rPr>
              <w:t>法律服务机构</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其他</w:t>
            </w:r>
          </w:p>
        </w:tc>
        <w:tc>
          <w:tcPr>
            <w:tcW w:w="666" w:type="dxa"/>
            <w:vMerge w:val="continue"/>
            <w:tcMar>
              <w:top w:w="57" w:type="dxa"/>
              <w:left w:w="108" w:type="dxa"/>
              <w:bottom w:w="57" w:type="dxa"/>
              <w:right w:w="108" w:type="dxa"/>
            </w:tcMar>
            <w:vAlign w:val="center"/>
          </w:tcPr>
          <w:p>
            <w:pPr>
              <w:spacing w:line="300" w:lineRule="exact"/>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154" w:type="dxa"/>
            <w:gridSpan w:val="3"/>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一、本年新收政府信息公开申请数量</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184</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154" w:type="dxa"/>
            <w:gridSpan w:val="3"/>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二、上年结转政府信息公开申请数量</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restart"/>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三、本年度办理结果</w:t>
            </w:r>
          </w:p>
        </w:tc>
        <w:tc>
          <w:tcPr>
            <w:tcW w:w="4457" w:type="dxa"/>
            <w:gridSpan w:val="2"/>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（一）予以公开</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52</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4457" w:type="dxa"/>
            <w:gridSpan w:val="2"/>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（二）部分公开（区分处理的，只计这一情形，不计其他情形）</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32</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restart"/>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（三）不予公开</w:t>
            </w: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1.属于国家秘密</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0"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2.其他法律行政法规禁止公开</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3.危及“三安全一稳定”</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4.保护第三方合法权益</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5.属于三类内部事务信息</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2</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6.属于四类过程性信息</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2</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7.属于行政执法案卷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8.属于行政查询事项</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restart"/>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（四）无法提供</w:t>
            </w: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1.本机关不掌握相关政府信息</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75</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2.没有现成信息需要另行制作</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8</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7"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3.补正后申请内容仍不明确</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restart"/>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（五）不予处理</w:t>
            </w: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1.信访举报投诉类申请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2.重复申请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3.要求提供公开出版物</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4.无正当理由大量反复申请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int="eastAsia" w:hAnsi="楷体" w:cs="楷体"/>
                <w:kern w:val="0"/>
                <w:sz w:val="28"/>
                <w:szCs w:val="28"/>
              </w:rPr>
              <w:t>5.要求行政机关确认或重新出具已获取信息</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restart"/>
            <w:tcMar>
              <w:top w:w="57" w:type="dxa"/>
              <w:left w:w="108" w:type="dxa"/>
              <w:bottom w:w="57" w:type="dxa"/>
              <w:right w:w="108" w:type="dxa"/>
            </w:tcMar>
            <w:vAlign w:val="center"/>
          </w:tcPr>
          <w:p>
            <w:pPr>
              <w:spacing w:line="300" w:lineRule="exact"/>
              <w:jc w:val="left"/>
              <w:rPr>
                <w:sz w:val="28"/>
                <w:szCs w:val="28"/>
              </w:rPr>
            </w:pPr>
            <w:r>
              <w:rPr>
                <w:rFonts w:hint="eastAsia"/>
                <w:sz w:val="28"/>
                <w:szCs w:val="28"/>
              </w:rPr>
              <w:t>（六）其他处理</w:t>
            </w: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Ansi="楷体" w:cs="楷体"/>
                <w:kern w:val="0"/>
                <w:sz w:val="28"/>
                <w:szCs w:val="28"/>
              </w:rPr>
              <w:t>1.申请人无正当理由逾期不补正、行政机关不再处理其政府信息公开申请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Ansi="楷体" w:cs="楷体"/>
                <w:kern w:val="0"/>
                <w:sz w:val="28"/>
                <w:szCs w:val="28"/>
              </w:rPr>
              <w:t>2.申请人逾期未按收费通知要求缴纳费用、行政机关不再处理其政府信息公开申请</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1485" w:type="dxa"/>
            <w:vMerge w:val="continue"/>
            <w:tcMar>
              <w:top w:w="57" w:type="dxa"/>
              <w:left w:w="108" w:type="dxa"/>
              <w:bottom w:w="57" w:type="dxa"/>
              <w:right w:w="108" w:type="dxa"/>
            </w:tcMar>
            <w:vAlign w:val="center"/>
          </w:tcPr>
          <w:p>
            <w:pPr>
              <w:spacing w:line="300" w:lineRule="exact"/>
              <w:jc w:val="left"/>
              <w:rPr>
                <w:sz w:val="28"/>
                <w:szCs w:val="28"/>
              </w:rPr>
            </w:pPr>
          </w:p>
        </w:tc>
        <w:tc>
          <w:tcPr>
            <w:tcW w:w="2972" w:type="dxa"/>
            <w:tcMar>
              <w:top w:w="57" w:type="dxa"/>
              <w:left w:w="108" w:type="dxa"/>
              <w:bottom w:w="57" w:type="dxa"/>
              <w:right w:w="108" w:type="dxa"/>
            </w:tcMar>
            <w:vAlign w:val="center"/>
          </w:tcPr>
          <w:p>
            <w:pPr>
              <w:spacing w:line="300" w:lineRule="exact"/>
              <w:jc w:val="left"/>
              <w:rPr>
                <w:rFonts w:hAnsi="楷体" w:cs="楷体"/>
                <w:kern w:val="0"/>
                <w:sz w:val="28"/>
                <w:szCs w:val="28"/>
              </w:rPr>
            </w:pPr>
            <w:r>
              <w:rPr>
                <w:rFonts w:hAnsi="楷体" w:cs="楷体"/>
                <w:kern w:val="0"/>
                <w:sz w:val="28"/>
                <w:szCs w:val="28"/>
              </w:rPr>
              <w:t>3.其他</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r>
              <w:rPr>
                <w:sz w:val="28"/>
                <w:szCs w:val="28"/>
              </w:rPr>
              <w:t>1</w:t>
            </w:r>
          </w:p>
        </w:tc>
        <w:tc>
          <w:tcPr>
            <w:tcW w:w="594" w:type="dxa"/>
            <w:tcMar>
              <w:top w:w="57" w:type="dxa"/>
              <w:left w:w="108" w:type="dxa"/>
              <w:bottom w:w="57" w:type="dxa"/>
              <w:right w:w="108" w:type="dxa"/>
            </w:tcMar>
            <w:vAlign w:val="center"/>
          </w:tcPr>
          <w:p>
            <w:pPr>
              <w:spacing w:line="300" w:lineRule="exact"/>
              <w:jc w:val="center"/>
              <w:rPr>
                <w:sz w:val="28"/>
                <w:szCs w:val="28"/>
              </w:rPr>
            </w:pPr>
            <w:r>
              <w:rPr>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r>
              <w:rPr>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exact"/>
          <w:jc w:val="center"/>
        </w:trPr>
        <w:tc>
          <w:tcPr>
            <w:tcW w:w="697" w:type="dxa"/>
            <w:vMerge w:val="continue"/>
            <w:tcMar>
              <w:top w:w="57" w:type="dxa"/>
              <w:left w:w="108" w:type="dxa"/>
              <w:bottom w:w="57" w:type="dxa"/>
              <w:right w:w="108" w:type="dxa"/>
            </w:tcMar>
            <w:vAlign w:val="center"/>
          </w:tcPr>
          <w:p>
            <w:pPr>
              <w:spacing w:line="300" w:lineRule="exact"/>
              <w:jc w:val="center"/>
              <w:rPr>
                <w:sz w:val="28"/>
                <w:szCs w:val="28"/>
              </w:rPr>
            </w:pPr>
          </w:p>
        </w:tc>
        <w:tc>
          <w:tcPr>
            <w:tcW w:w="4457" w:type="dxa"/>
            <w:gridSpan w:val="2"/>
            <w:tcMar>
              <w:top w:w="57" w:type="dxa"/>
              <w:left w:w="108" w:type="dxa"/>
              <w:bottom w:w="57" w:type="dxa"/>
              <w:right w:w="108" w:type="dxa"/>
            </w:tcMar>
            <w:vAlign w:val="center"/>
          </w:tcPr>
          <w:p>
            <w:pPr>
              <w:spacing w:line="300" w:lineRule="exact"/>
              <w:jc w:val="left"/>
              <w:rPr>
                <w:sz w:val="28"/>
                <w:szCs w:val="28"/>
              </w:rPr>
            </w:pPr>
            <w:r>
              <w:rPr>
                <w:rFonts w:hint="eastAsia" w:hAnsi="楷体" w:cs="楷体"/>
                <w:kern w:val="0"/>
                <w:sz w:val="28"/>
                <w:szCs w:val="28"/>
              </w:rPr>
              <w:t>（七）总计</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183</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5154" w:type="dxa"/>
            <w:gridSpan w:val="3"/>
            <w:tcMar>
              <w:top w:w="57" w:type="dxa"/>
              <w:left w:w="108" w:type="dxa"/>
              <w:bottom w:w="57" w:type="dxa"/>
              <w:right w:w="108" w:type="dxa"/>
            </w:tcMar>
            <w:vAlign w:val="center"/>
          </w:tcPr>
          <w:p>
            <w:pPr>
              <w:spacing w:line="300" w:lineRule="exact"/>
              <w:jc w:val="center"/>
              <w:rPr>
                <w:sz w:val="28"/>
                <w:szCs w:val="28"/>
              </w:rPr>
            </w:pPr>
            <w:r>
              <w:rPr>
                <w:rFonts w:hint="eastAsia"/>
                <w:kern w:val="0"/>
                <w:sz w:val="28"/>
                <w:szCs w:val="28"/>
              </w:rPr>
              <w:t>四、结转下年度继续办理</w:t>
            </w:r>
          </w:p>
        </w:tc>
        <w:tc>
          <w:tcPr>
            <w:tcW w:w="890"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94"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5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0</w:t>
            </w:r>
          </w:p>
        </w:tc>
        <w:tc>
          <w:tcPr>
            <w:tcW w:w="666" w:type="dxa"/>
            <w:tcMar>
              <w:top w:w="57" w:type="dxa"/>
              <w:left w:w="108" w:type="dxa"/>
              <w:bottom w:w="57" w:type="dxa"/>
              <w:right w:w="108" w:type="dxa"/>
            </w:tcMar>
            <w:vAlign w:val="center"/>
          </w:tcPr>
          <w:p>
            <w:pPr>
              <w:spacing w:line="300" w:lineRule="exact"/>
              <w:jc w:val="center"/>
              <w:rPr>
                <w:sz w:val="28"/>
                <w:szCs w:val="28"/>
              </w:rPr>
            </w:pPr>
            <w:r>
              <w:rPr>
                <w:rFonts w:hint="eastAsia"/>
                <w:sz w:val="28"/>
                <w:szCs w:val="28"/>
              </w:rPr>
              <w:t>1</w:t>
            </w:r>
          </w:p>
        </w:tc>
      </w:tr>
    </w:tbl>
    <w:p>
      <w:pPr>
        <w:pStyle w:val="12"/>
        <w:spacing w:line="560" w:lineRule="exact"/>
        <w:ind w:firstLine="616"/>
        <w:rPr>
          <w:rFonts w:ascii="黑体" w:hAnsi="黑体" w:eastAsia="黑体"/>
          <w:spacing w:val="-6"/>
          <w:kern w:val="0"/>
        </w:rPr>
      </w:pPr>
      <w:r>
        <w:rPr>
          <w:rFonts w:hint="eastAsia" w:ascii="黑体" w:hAnsi="黑体" w:eastAsia="黑体"/>
          <w:spacing w:val="-6"/>
          <w:kern w:val="0"/>
        </w:rPr>
        <w:t>四、政府信息公开行政复议、行政诉讼情况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行政复议</w:t>
            </w:r>
          </w:p>
        </w:tc>
        <w:tc>
          <w:tcPr>
            <w:tcW w:w="5997" w:type="dxa"/>
            <w:gridSpan w:val="10"/>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tcMar>
              <w:top w:w="57" w:type="dxa"/>
              <w:left w:w="108" w:type="dxa"/>
              <w:bottom w:w="57" w:type="dxa"/>
              <w:right w:w="108" w:type="dxa"/>
            </w:tcMar>
            <w:vAlign w:val="center"/>
          </w:tcPr>
          <w:p>
            <w:pPr>
              <w:spacing w:line="400" w:lineRule="exact"/>
              <w:ind w:left="-227" w:leftChars="-71" w:right="-259" w:rightChars="-81"/>
              <w:jc w:val="center"/>
              <w:rPr>
                <w:kern w:val="0"/>
                <w:sz w:val="28"/>
                <w:szCs w:val="28"/>
              </w:rPr>
            </w:pPr>
            <w:r>
              <w:rPr>
                <w:rFonts w:hint="eastAsia"/>
                <w:kern w:val="0"/>
                <w:sz w:val="28"/>
                <w:szCs w:val="28"/>
              </w:rPr>
              <w:t>结果</w:t>
            </w:r>
          </w:p>
          <w:p>
            <w:pPr>
              <w:spacing w:line="400" w:lineRule="exact"/>
              <w:ind w:left="-227" w:leftChars="-71" w:right="-259" w:rightChars="-81"/>
              <w:jc w:val="center"/>
              <w:rPr>
                <w:sz w:val="28"/>
                <w:szCs w:val="28"/>
              </w:rPr>
            </w:pPr>
            <w:r>
              <w:rPr>
                <w:rFonts w:hint="eastAsia"/>
                <w:kern w:val="0"/>
                <w:sz w:val="28"/>
                <w:szCs w:val="28"/>
              </w:rPr>
              <w:t>维持</w:t>
            </w:r>
          </w:p>
        </w:tc>
        <w:tc>
          <w:tcPr>
            <w:tcW w:w="604" w:type="dxa"/>
            <w:vMerge w:val="restart"/>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66" w:leftChars="-21" w:right="-202" w:rightChars="-63" w:hanging="1"/>
              <w:jc w:val="center"/>
              <w:rPr>
                <w:kern w:val="0"/>
                <w:sz w:val="28"/>
                <w:szCs w:val="28"/>
              </w:rPr>
            </w:pPr>
            <w:r>
              <w:rPr>
                <w:rFonts w:hint="eastAsia"/>
                <w:kern w:val="0"/>
                <w:sz w:val="28"/>
                <w:szCs w:val="28"/>
              </w:rPr>
              <w:t>结果</w:t>
            </w:r>
          </w:p>
          <w:p>
            <w:pPr>
              <w:spacing w:line="400" w:lineRule="exact"/>
              <w:ind w:left="-66" w:leftChars="-21" w:right="-202" w:rightChars="-63" w:hanging="1"/>
              <w:jc w:val="center"/>
              <w:rPr>
                <w:sz w:val="28"/>
                <w:szCs w:val="28"/>
              </w:rPr>
            </w:pPr>
            <w:r>
              <w:rPr>
                <w:rFonts w:hint="eastAsia"/>
                <w:kern w:val="0"/>
                <w:sz w:val="28"/>
                <w:szCs w:val="28"/>
              </w:rPr>
              <w:t>纠正</w:t>
            </w:r>
          </w:p>
        </w:tc>
        <w:tc>
          <w:tcPr>
            <w:tcW w:w="604" w:type="dxa"/>
            <w:vMerge w:val="restart"/>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25" w:leftChars="-39" w:right="-147" w:rightChars="-46"/>
              <w:jc w:val="center"/>
              <w:rPr>
                <w:kern w:val="0"/>
                <w:sz w:val="28"/>
                <w:szCs w:val="28"/>
              </w:rPr>
            </w:pPr>
            <w:r>
              <w:rPr>
                <w:rFonts w:hint="eastAsia"/>
                <w:kern w:val="0"/>
                <w:sz w:val="28"/>
                <w:szCs w:val="28"/>
              </w:rPr>
              <w:t>其他</w:t>
            </w:r>
          </w:p>
          <w:p>
            <w:pPr>
              <w:spacing w:line="400" w:lineRule="exact"/>
              <w:ind w:left="-125" w:leftChars="-39" w:right="-147" w:rightChars="-46"/>
              <w:jc w:val="center"/>
              <w:rPr>
                <w:sz w:val="28"/>
                <w:szCs w:val="28"/>
              </w:rPr>
            </w:pPr>
            <w:r>
              <w:rPr>
                <w:rFonts w:hint="eastAsia"/>
                <w:kern w:val="0"/>
                <w:sz w:val="28"/>
                <w:szCs w:val="28"/>
              </w:rPr>
              <w:t>结果</w:t>
            </w:r>
          </w:p>
        </w:tc>
        <w:tc>
          <w:tcPr>
            <w:tcW w:w="604" w:type="dxa"/>
            <w:vMerge w:val="restart"/>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79" w:leftChars="-56" w:right="-179" w:rightChars="-56"/>
              <w:jc w:val="center"/>
              <w:rPr>
                <w:kern w:val="0"/>
                <w:sz w:val="28"/>
                <w:szCs w:val="28"/>
              </w:rPr>
            </w:pPr>
            <w:r>
              <w:rPr>
                <w:rFonts w:hint="eastAsia"/>
                <w:kern w:val="0"/>
                <w:sz w:val="28"/>
                <w:szCs w:val="28"/>
              </w:rPr>
              <w:t>尚未</w:t>
            </w:r>
          </w:p>
          <w:p>
            <w:pPr>
              <w:spacing w:line="400" w:lineRule="exact"/>
              <w:ind w:left="-179" w:leftChars="-56" w:right="-179" w:rightChars="-56"/>
              <w:jc w:val="center"/>
              <w:rPr>
                <w:sz w:val="28"/>
                <w:szCs w:val="28"/>
              </w:rPr>
            </w:pPr>
            <w:r>
              <w:rPr>
                <w:rFonts w:hint="eastAsia"/>
                <w:kern w:val="0"/>
                <w:sz w:val="28"/>
                <w:szCs w:val="28"/>
              </w:rPr>
              <w:t>审结</w:t>
            </w:r>
          </w:p>
        </w:tc>
        <w:tc>
          <w:tcPr>
            <w:tcW w:w="658" w:type="dxa"/>
            <w:vMerge w:val="restart"/>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kern w:val="0"/>
                <w:sz w:val="28"/>
                <w:szCs w:val="28"/>
              </w:rPr>
            </w:pPr>
            <w:r>
              <w:rPr>
                <w:rFonts w:hint="eastAsia"/>
                <w:kern w:val="0"/>
                <w:sz w:val="28"/>
                <w:szCs w:val="28"/>
              </w:rPr>
              <w:t>总</w:t>
            </w:r>
          </w:p>
          <w:p>
            <w:pPr>
              <w:spacing w:line="400" w:lineRule="exact"/>
              <w:jc w:val="center"/>
              <w:rPr>
                <w:sz w:val="28"/>
                <w:szCs w:val="28"/>
              </w:rPr>
            </w:pPr>
            <w:r>
              <w:rPr>
                <w:rFonts w:hint="eastAsia"/>
                <w:kern w:val="0"/>
                <w:sz w:val="28"/>
                <w:szCs w:val="28"/>
              </w:rPr>
              <w:t>计</w:t>
            </w:r>
          </w:p>
        </w:tc>
        <w:tc>
          <w:tcPr>
            <w:tcW w:w="2970" w:type="dxa"/>
            <w:gridSpan w:val="5"/>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未经复议直接起诉</w:t>
            </w:r>
          </w:p>
        </w:tc>
        <w:tc>
          <w:tcPr>
            <w:tcW w:w="3027" w:type="dxa"/>
            <w:gridSpan w:val="5"/>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 xml:space="preserve"> </w:t>
            </w:r>
          </w:p>
        </w:tc>
        <w:tc>
          <w:tcPr>
            <w:tcW w:w="604" w:type="dxa"/>
            <w:vMerge w:val="continue"/>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p>
        </w:tc>
        <w:tc>
          <w:tcPr>
            <w:tcW w:w="604" w:type="dxa"/>
            <w:vMerge w:val="continue"/>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p>
        </w:tc>
        <w:tc>
          <w:tcPr>
            <w:tcW w:w="604" w:type="dxa"/>
            <w:vMerge w:val="continue"/>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p>
        </w:tc>
        <w:tc>
          <w:tcPr>
            <w:tcW w:w="658" w:type="dxa"/>
            <w:vMerge w:val="continue"/>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p>
        </w:tc>
        <w:tc>
          <w:tcPr>
            <w:tcW w:w="550"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60" w:leftChars="-50" w:right="-192" w:rightChars="-60"/>
              <w:jc w:val="center"/>
              <w:rPr>
                <w:kern w:val="0"/>
                <w:sz w:val="28"/>
                <w:szCs w:val="28"/>
              </w:rPr>
            </w:pPr>
            <w:r>
              <w:rPr>
                <w:rFonts w:hint="eastAsia"/>
                <w:kern w:val="0"/>
                <w:sz w:val="28"/>
                <w:szCs w:val="28"/>
              </w:rPr>
              <w:t>结果</w:t>
            </w:r>
          </w:p>
          <w:p>
            <w:pPr>
              <w:spacing w:line="400" w:lineRule="exact"/>
              <w:ind w:left="-160" w:leftChars="-50" w:right="-192" w:rightChars="-60"/>
              <w:jc w:val="center"/>
              <w:rPr>
                <w:sz w:val="28"/>
                <w:szCs w:val="28"/>
              </w:rPr>
            </w:pPr>
            <w:r>
              <w:rPr>
                <w:rFonts w:hint="eastAsia"/>
                <w:kern w:val="0"/>
                <w:sz w:val="28"/>
                <w:szCs w:val="28"/>
              </w:rPr>
              <w:t>维持</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31" w:leftChars="-41" w:right="-134" w:rightChars="-42"/>
              <w:jc w:val="center"/>
              <w:rPr>
                <w:kern w:val="0"/>
                <w:sz w:val="28"/>
                <w:szCs w:val="28"/>
              </w:rPr>
            </w:pPr>
            <w:r>
              <w:rPr>
                <w:rFonts w:hint="eastAsia"/>
                <w:kern w:val="0"/>
                <w:sz w:val="28"/>
                <w:szCs w:val="28"/>
              </w:rPr>
              <w:t>结果</w:t>
            </w:r>
          </w:p>
          <w:p>
            <w:pPr>
              <w:spacing w:line="400" w:lineRule="exact"/>
              <w:ind w:left="-131" w:leftChars="-41" w:right="-134" w:rightChars="-42"/>
              <w:jc w:val="center"/>
              <w:rPr>
                <w:sz w:val="28"/>
                <w:szCs w:val="28"/>
              </w:rPr>
            </w:pPr>
            <w:r>
              <w:rPr>
                <w:rFonts w:hint="eastAsia"/>
                <w:kern w:val="0"/>
                <w:sz w:val="28"/>
                <w:szCs w:val="28"/>
              </w:rPr>
              <w:t>纠正</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92" w:leftChars="-60" w:right="-208" w:rightChars="-65"/>
              <w:jc w:val="center"/>
              <w:rPr>
                <w:kern w:val="0"/>
                <w:sz w:val="28"/>
                <w:szCs w:val="28"/>
              </w:rPr>
            </w:pPr>
            <w:r>
              <w:rPr>
                <w:rFonts w:hint="eastAsia"/>
                <w:kern w:val="0"/>
                <w:sz w:val="28"/>
                <w:szCs w:val="28"/>
              </w:rPr>
              <w:t>其他</w:t>
            </w:r>
          </w:p>
          <w:p>
            <w:pPr>
              <w:spacing w:line="400" w:lineRule="exact"/>
              <w:ind w:left="-192" w:leftChars="-60" w:right="-208" w:rightChars="-65"/>
              <w:jc w:val="center"/>
              <w:rPr>
                <w:sz w:val="28"/>
                <w:szCs w:val="28"/>
              </w:rPr>
            </w:pPr>
            <w:r>
              <w:rPr>
                <w:rFonts w:hint="eastAsia"/>
                <w:kern w:val="0"/>
                <w:sz w:val="28"/>
                <w:szCs w:val="28"/>
              </w:rPr>
              <w:t>结果</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250" w:leftChars="-78" w:right="-234" w:rightChars="-73"/>
              <w:jc w:val="center"/>
              <w:rPr>
                <w:kern w:val="0"/>
                <w:sz w:val="28"/>
                <w:szCs w:val="28"/>
              </w:rPr>
            </w:pPr>
            <w:r>
              <w:rPr>
                <w:rFonts w:hint="eastAsia"/>
                <w:kern w:val="0"/>
                <w:sz w:val="28"/>
                <w:szCs w:val="28"/>
              </w:rPr>
              <w:t>尚未</w:t>
            </w:r>
          </w:p>
          <w:p>
            <w:pPr>
              <w:spacing w:line="400" w:lineRule="exact"/>
              <w:ind w:left="-250" w:leftChars="-78" w:right="-234" w:rightChars="-73"/>
              <w:jc w:val="center"/>
              <w:rPr>
                <w:sz w:val="28"/>
                <w:szCs w:val="28"/>
              </w:rPr>
            </w:pPr>
            <w:r>
              <w:rPr>
                <w:rFonts w:hint="eastAsia"/>
                <w:kern w:val="0"/>
                <w:sz w:val="28"/>
                <w:szCs w:val="28"/>
              </w:rPr>
              <w:t>审结</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总计</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50" w:leftChars="-47" w:right="-118" w:rightChars="-37"/>
              <w:jc w:val="center"/>
              <w:rPr>
                <w:kern w:val="0"/>
                <w:sz w:val="28"/>
                <w:szCs w:val="28"/>
              </w:rPr>
            </w:pPr>
            <w:r>
              <w:rPr>
                <w:rFonts w:hint="eastAsia"/>
                <w:kern w:val="0"/>
                <w:sz w:val="28"/>
                <w:szCs w:val="28"/>
              </w:rPr>
              <w:t>结果</w:t>
            </w:r>
          </w:p>
          <w:p>
            <w:pPr>
              <w:spacing w:line="400" w:lineRule="exact"/>
              <w:ind w:left="-150" w:leftChars="-47" w:right="-118" w:rightChars="-37"/>
              <w:jc w:val="center"/>
              <w:rPr>
                <w:sz w:val="28"/>
                <w:szCs w:val="28"/>
              </w:rPr>
            </w:pPr>
            <w:r>
              <w:rPr>
                <w:rFonts w:hint="eastAsia"/>
                <w:kern w:val="0"/>
                <w:sz w:val="28"/>
                <w:szCs w:val="28"/>
              </w:rPr>
              <w:t>维持</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208" w:leftChars="-65" w:right="-189" w:rightChars="-59"/>
              <w:jc w:val="center"/>
              <w:rPr>
                <w:kern w:val="0"/>
                <w:sz w:val="28"/>
                <w:szCs w:val="28"/>
              </w:rPr>
            </w:pPr>
            <w:r>
              <w:rPr>
                <w:rFonts w:hint="eastAsia"/>
                <w:kern w:val="0"/>
                <w:sz w:val="28"/>
                <w:szCs w:val="28"/>
              </w:rPr>
              <w:t>结果</w:t>
            </w:r>
          </w:p>
          <w:p>
            <w:pPr>
              <w:spacing w:line="400" w:lineRule="exact"/>
              <w:ind w:left="-208" w:leftChars="-65" w:right="-189" w:rightChars="-59"/>
              <w:jc w:val="center"/>
              <w:rPr>
                <w:sz w:val="28"/>
                <w:szCs w:val="28"/>
              </w:rPr>
            </w:pPr>
            <w:r>
              <w:rPr>
                <w:rFonts w:hint="eastAsia"/>
                <w:kern w:val="0"/>
                <w:sz w:val="28"/>
                <w:szCs w:val="28"/>
              </w:rPr>
              <w:t>纠正</w:t>
            </w:r>
          </w:p>
        </w:tc>
        <w:tc>
          <w:tcPr>
            <w:tcW w:w="605"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265" w:leftChars="-83" w:right="-205" w:rightChars="-64" w:hanging="1"/>
              <w:jc w:val="center"/>
              <w:rPr>
                <w:kern w:val="0"/>
                <w:sz w:val="28"/>
                <w:szCs w:val="28"/>
              </w:rPr>
            </w:pPr>
            <w:r>
              <w:rPr>
                <w:rFonts w:hint="eastAsia"/>
                <w:kern w:val="0"/>
                <w:sz w:val="28"/>
                <w:szCs w:val="28"/>
              </w:rPr>
              <w:t>其他</w:t>
            </w:r>
          </w:p>
          <w:p>
            <w:pPr>
              <w:spacing w:line="400" w:lineRule="exact"/>
              <w:ind w:left="-265" w:leftChars="-83" w:right="-205" w:rightChars="-64" w:hanging="1"/>
              <w:jc w:val="center"/>
              <w:rPr>
                <w:sz w:val="28"/>
                <w:szCs w:val="28"/>
              </w:rPr>
            </w:pPr>
            <w:r>
              <w:rPr>
                <w:rFonts w:hint="eastAsia"/>
                <w:kern w:val="0"/>
                <w:sz w:val="28"/>
                <w:szCs w:val="28"/>
              </w:rPr>
              <w:t>结果</w:t>
            </w:r>
          </w:p>
        </w:tc>
        <w:tc>
          <w:tcPr>
            <w:tcW w:w="606"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ind w:left="-104" w:leftChars="-33" w:right="-160" w:rightChars="-50" w:hanging="2" w:hangingChars="1"/>
              <w:jc w:val="center"/>
              <w:rPr>
                <w:kern w:val="0"/>
                <w:sz w:val="28"/>
                <w:szCs w:val="28"/>
              </w:rPr>
            </w:pPr>
            <w:r>
              <w:rPr>
                <w:rFonts w:hint="eastAsia"/>
                <w:kern w:val="0"/>
                <w:sz w:val="28"/>
                <w:szCs w:val="28"/>
              </w:rPr>
              <w:t>尚未</w:t>
            </w:r>
          </w:p>
          <w:p>
            <w:pPr>
              <w:spacing w:line="400" w:lineRule="exact"/>
              <w:ind w:left="-104" w:leftChars="-33" w:right="-160" w:rightChars="-50" w:hanging="2" w:hangingChars="1"/>
              <w:jc w:val="center"/>
              <w:rPr>
                <w:sz w:val="28"/>
                <w:szCs w:val="28"/>
              </w:rPr>
            </w:pPr>
            <w:r>
              <w:rPr>
                <w:rFonts w:hint="eastAsia"/>
                <w:kern w:val="0"/>
                <w:sz w:val="28"/>
                <w:szCs w:val="28"/>
              </w:rPr>
              <w:t>审结</w:t>
            </w:r>
          </w:p>
        </w:tc>
        <w:tc>
          <w:tcPr>
            <w:tcW w:w="606" w:type="dxa"/>
            <w:tcBorders>
              <w:top w:val="single" w:color="auto" w:sz="8" w:space="0"/>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kern w:val="0"/>
                <w:sz w:val="28"/>
                <w:szCs w:val="2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72" w:hRule="atLeast"/>
          <w:jc w:val="center"/>
        </w:trPr>
        <w:tc>
          <w:tcPr>
            <w:tcW w:w="604" w:type="dxa"/>
            <w:tcBorders>
              <w:top w:val="nil"/>
              <w:left w:val="single" w:color="auto" w:sz="8" w:space="0"/>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w:t>
            </w:r>
          </w:p>
        </w:tc>
        <w:tc>
          <w:tcPr>
            <w:tcW w:w="604"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4"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14</w:t>
            </w:r>
          </w:p>
        </w:tc>
        <w:tc>
          <w:tcPr>
            <w:tcW w:w="604"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w:t>
            </w:r>
          </w:p>
        </w:tc>
        <w:tc>
          <w:tcPr>
            <w:tcW w:w="658"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16</w:t>
            </w:r>
          </w:p>
        </w:tc>
        <w:tc>
          <w:tcPr>
            <w:tcW w:w="550"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1</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2</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5"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6"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c>
          <w:tcPr>
            <w:tcW w:w="606" w:type="dxa"/>
            <w:tcBorders>
              <w:top w:val="nil"/>
              <w:left w:val="nil"/>
              <w:bottom w:val="single" w:color="auto" w:sz="8" w:space="0"/>
              <w:right w:val="single" w:color="auto" w:sz="8" w:space="0"/>
            </w:tcBorders>
            <w:tcMar>
              <w:top w:w="57" w:type="dxa"/>
              <w:left w:w="108" w:type="dxa"/>
              <w:bottom w:w="57" w:type="dxa"/>
              <w:right w:w="108" w:type="dxa"/>
            </w:tcMar>
            <w:vAlign w:val="center"/>
          </w:tcPr>
          <w:p>
            <w:pPr>
              <w:spacing w:line="400" w:lineRule="exact"/>
              <w:jc w:val="center"/>
              <w:rPr>
                <w:sz w:val="28"/>
                <w:szCs w:val="28"/>
              </w:rPr>
            </w:pPr>
            <w:r>
              <w:rPr>
                <w:rFonts w:hint="eastAsia"/>
                <w:sz w:val="28"/>
                <w:szCs w:val="28"/>
              </w:rPr>
              <w:t>0</w:t>
            </w:r>
          </w:p>
        </w:tc>
      </w:tr>
    </w:tbl>
    <w:p>
      <w:pPr>
        <w:pStyle w:val="12"/>
        <w:spacing w:line="560" w:lineRule="exact"/>
        <w:ind w:firstLine="640"/>
        <w:rPr>
          <w:rFonts w:ascii="黑体" w:hAnsi="黑体" w:eastAsia="黑体"/>
          <w:kern w:val="0"/>
        </w:rPr>
      </w:pPr>
      <w:r>
        <w:rPr>
          <w:rFonts w:hint="eastAsia" w:ascii="黑体" w:hAnsi="黑体" w:eastAsia="黑体"/>
          <w:kern w:val="0"/>
        </w:rPr>
        <w:t>五、存在的主要问题及改进情况</w:t>
      </w:r>
    </w:p>
    <w:p>
      <w:pPr>
        <w:spacing w:line="560" w:lineRule="exact"/>
        <w:ind w:firstLine="640" w:firstLineChars="200"/>
        <w:rPr>
          <w:rFonts w:ascii="楷体_GB2312" w:hAnsi="楷体_GB2312" w:eastAsia="楷体_GB2312" w:cs="楷体_GB2312"/>
          <w:kern w:val="0"/>
        </w:rPr>
      </w:pPr>
      <w:r>
        <w:rPr>
          <w:rFonts w:hint="eastAsia" w:ascii="楷体_GB2312" w:hAnsi="楷体_GB2312" w:eastAsia="楷体_GB2312" w:cs="楷体_GB2312"/>
          <w:kern w:val="0"/>
        </w:rPr>
        <w:t>（一）目前存在的问题和不足</w:t>
      </w:r>
    </w:p>
    <w:p>
      <w:pPr>
        <w:spacing w:line="560" w:lineRule="exact"/>
        <w:ind w:firstLine="640" w:firstLineChars="200"/>
        <w:rPr>
          <w:kern w:val="0"/>
        </w:rPr>
      </w:pPr>
      <w:r>
        <w:rPr>
          <w:rFonts w:hint="eastAsia"/>
          <w:kern w:val="0"/>
        </w:rPr>
        <w:t>根据国家和省、市有关要求，结合本地实际，我区政务公开工作在以下几个方面还存在不足。</w:t>
      </w:r>
    </w:p>
    <w:p>
      <w:pPr>
        <w:spacing w:line="560" w:lineRule="exact"/>
        <w:ind w:firstLine="640" w:firstLineChars="200"/>
        <w:rPr>
          <w:kern w:val="0"/>
        </w:rPr>
      </w:pPr>
      <w:r>
        <w:rPr>
          <w:rFonts w:hint="eastAsia"/>
          <w:kern w:val="0"/>
        </w:rPr>
        <w:t>一是机制保障需进一步完善。一方面，由于年内重要工作推进和重要任务落实需要，多个部门进行了岗位调整或工作重新安排。人员调整之后，按照疫情防控有关规定，未及时组织相关培训，对新到岗人员的工作磨合产生一定影响。另一方面，少数部门的具体负责人员职责业务增多，对整个部门政务公开和政府信息公开的统筹管理不足，领导干部听取专题汇报及研究工作的次数减少，整项工作推进减缓。</w:t>
      </w:r>
    </w:p>
    <w:p>
      <w:pPr>
        <w:spacing w:line="560" w:lineRule="exact"/>
        <w:ind w:firstLine="640" w:firstLineChars="200"/>
        <w:rPr>
          <w:kern w:val="0"/>
        </w:rPr>
      </w:pPr>
      <w:r>
        <w:rPr>
          <w:rFonts w:hint="eastAsia"/>
          <w:kern w:val="0"/>
        </w:rPr>
        <w:t>二是政民互动力度需进一步加大。政民互动方面，主要是“向外”做得多，“向内”相对较少，吸纳公众意见和建议的常态化建设不足，政民互动互信的“最后一公里”仍有瓶颈。另外，对公众意见和建议的持续跟进力度较弱，特别是初次吸纳公众意见和建议，对政府工作和政府信息进行调整优化之后，对公众意见的再征求不够完善。</w:t>
      </w:r>
    </w:p>
    <w:p>
      <w:pPr>
        <w:spacing w:line="560" w:lineRule="exact"/>
        <w:ind w:firstLine="640" w:firstLineChars="200"/>
        <w:rPr>
          <w:kern w:val="0"/>
        </w:rPr>
      </w:pPr>
      <w:r>
        <w:rPr>
          <w:rFonts w:hint="eastAsia"/>
          <w:kern w:val="0"/>
        </w:rPr>
        <w:t>三是政府信息公开工作的主动性和自觉性需要进一步提升。在日常工作过程中，部分单位存在信息更新不及时、信息发布不规范等问题，发布信息的主动性和自觉性需要提升。</w:t>
      </w:r>
    </w:p>
    <w:p>
      <w:pPr>
        <w:spacing w:line="560" w:lineRule="exact"/>
        <w:ind w:firstLine="640" w:firstLineChars="200"/>
        <w:rPr>
          <w:rFonts w:ascii="楷体_GB2312" w:hAnsi="楷体_GB2312" w:eastAsia="楷体_GB2312" w:cs="楷体_GB2312"/>
          <w:kern w:val="0"/>
        </w:rPr>
      </w:pPr>
      <w:r>
        <w:rPr>
          <w:rFonts w:hint="eastAsia" w:ascii="楷体_GB2312" w:hAnsi="楷体_GB2312" w:eastAsia="楷体_GB2312" w:cs="楷体_GB2312"/>
          <w:kern w:val="0"/>
        </w:rPr>
        <w:t>（二）改进情况及下一步计划</w:t>
      </w:r>
    </w:p>
    <w:p>
      <w:pPr>
        <w:spacing w:line="560" w:lineRule="exact"/>
        <w:ind w:firstLine="640" w:firstLineChars="200"/>
        <w:rPr>
          <w:rFonts w:hAnsi="仿宋_GB2312" w:cs="仿宋_GB2312"/>
        </w:rPr>
      </w:pPr>
      <w:r>
        <w:rPr>
          <w:rFonts w:hint="eastAsia" w:hAnsi="仿宋_GB2312" w:cs="仿宋_GB2312"/>
        </w:rPr>
        <w:t>一是做好人员和机制保障。一方面，高标准坚持政务公开工作人员准入机制，任何部门进行人员调整时，必须对新到岗人员提前进行培训，以便后续工作对接与磨合，确保工作衔接到位，推进顺利，坚决杜绝“零经验到岗”现象。另一方面，加强学习培训和能力建设，结合疫情防控形势，减少线下培训和多人集中培训次数，视情组织视频会议、工作群交流、线上沙龙等培训方式，确保培训效果，持续提升全区政务公开水平。</w:t>
      </w:r>
    </w:p>
    <w:p>
      <w:pPr>
        <w:spacing w:line="560" w:lineRule="exact"/>
        <w:ind w:firstLine="640" w:firstLineChars="200"/>
        <w:rPr>
          <w:rFonts w:hAnsi="仿宋_GB2312" w:cs="仿宋_GB2312"/>
        </w:rPr>
      </w:pPr>
      <w:r>
        <w:rPr>
          <w:rFonts w:hint="eastAsia" w:hAnsi="仿宋_GB2312" w:cs="仿宋_GB2312"/>
        </w:rPr>
        <w:t>二是拓展政民互动渠道。在平台建设方面，充分发挥政府门户网站+政务新媒体+12345热线+传统媒体的优势，全方位打造“媒体+政务”互动模式，让群众通过网络、手机、电视等多种方式接收政府信息。在互动流程方面，探索线上即时问答与线下跟踪反馈相结合的互动方式，充分吸纳公众意见，掌握民生需求，践行落实好网上群众路线。</w:t>
      </w:r>
    </w:p>
    <w:p>
      <w:pPr>
        <w:pStyle w:val="2"/>
        <w:spacing w:line="560" w:lineRule="exact"/>
        <w:rPr>
          <w:sz w:val="32"/>
          <w:szCs w:val="32"/>
        </w:rPr>
      </w:pPr>
      <w:r>
        <w:rPr>
          <w:rFonts w:hint="eastAsia" w:hAnsi="仿宋_GB2312" w:cs="仿宋_GB2312"/>
          <w:sz w:val="32"/>
          <w:szCs w:val="32"/>
        </w:rPr>
        <w:t>三是建立健全考核通报机制。对政务公开工作积极性不高、信息发布不符合要求等问题及时进行通报，督促各单位高标准、严要求规范信息发布。通过定期培训等方式，逐步提高各单位政务公开工作人员纪律性、专业性。</w:t>
      </w:r>
    </w:p>
    <w:p>
      <w:pPr>
        <w:pStyle w:val="12"/>
        <w:numPr>
          <w:ilvl w:val="0"/>
          <w:numId w:val="1"/>
        </w:numPr>
        <w:spacing w:line="560" w:lineRule="exact"/>
        <w:ind w:firstLine="640"/>
        <w:rPr>
          <w:rFonts w:ascii="黑体" w:hAnsi="黑体" w:eastAsia="黑体"/>
          <w:kern w:val="0"/>
        </w:rPr>
      </w:pPr>
      <w:r>
        <w:rPr>
          <w:rFonts w:hint="eastAsia" w:ascii="黑体" w:hAnsi="黑体" w:eastAsia="黑体"/>
          <w:kern w:val="0"/>
        </w:rPr>
        <w:t>其他需要报告的事项</w:t>
      </w:r>
    </w:p>
    <w:p>
      <w:pPr>
        <w:pStyle w:val="12"/>
        <w:spacing w:line="560" w:lineRule="exact"/>
        <w:ind w:firstLine="640"/>
        <w:rPr>
          <w:rFonts w:hAnsi="楷体_GB2312" w:cs="楷体_GB2312"/>
          <w:kern w:val="0"/>
        </w:rPr>
      </w:pPr>
      <w:r>
        <w:rPr>
          <w:rFonts w:hint="eastAsia" w:ascii="楷体_GB2312" w:hAnsi="楷体_GB2312" w:eastAsia="楷体_GB2312" w:cs="楷体_GB2312"/>
          <w:kern w:val="0"/>
        </w:rPr>
        <w:t>（一）依据《政府信息公开信息处理费管理办法》收取信息处理费的情况：</w:t>
      </w:r>
      <w:r>
        <w:rPr>
          <w:rFonts w:hint="eastAsia" w:hAnsi="楷体_GB2312" w:cs="楷体_GB2312"/>
          <w:kern w:val="0"/>
        </w:rPr>
        <w:t>无。</w:t>
      </w:r>
    </w:p>
    <w:p>
      <w:pPr>
        <w:pStyle w:val="12"/>
        <w:spacing w:line="560" w:lineRule="exact"/>
        <w:ind w:firstLine="640"/>
        <w:rPr>
          <w:rFonts w:hAnsi="楷体_GB2312" w:cs="楷体_GB2312"/>
          <w:kern w:val="0"/>
        </w:rPr>
      </w:pPr>
      <w:r>
        <w:rPr>
          <w:rFonts w:hint="eastAsia" w:ascii="楷体_GB2312" w:hAnsi="楷体_GB2312" w:eastAsia="楷体_GB2312" w:cs="楷体_GB2312"/>
          <w:kern w:val="0"/>
        </w:rPr>
        <w:t>（二）本行政机关落实上级年度政务公开工作要点情况：</w:t>
      </w:r>
      <w:r>
        <w:rPr>
          <w:rFonts w:hint="eastAsia"/>
          <w:kern w:val="0"/>
        </w:rPr>
        <w:t>2022年，我区认真贯彻落实《2022年济南市政务公开工作要点》（以下简称《要点》）。一是出台区级工作要点，将市级工作要点有关任务要求逐条梳理，结合我区实际无错漏认领，编入《2022年济南市济阳区政务公开工作要点》，加强统筹管理。二是做好信息公开，按照《要点》要求，在新旧动能转换、重大战略实施、疫情防控、优化营商环境、民生保障、公共企事业单位等领域，完善信息要素，常态化推进主动公开；强化法律意见参考和法制审查，规范完善流程，推进依申请公开规范化答复水平。三是抓好政策解读，将解读视角从政策起草机构扩展为政策起草+执行机构，着重对具体措施展开解读，鼓励各部门通过新闻发布会、政策吹风会等方式深化解读实效。四是推进平台建设，接入“济南市融公开平台”，是全市统一的政府信息管理平台，进一步加强政府信息集中发布和管理水平，在新平台的基础上，对原有网站栏目进一步优化升级，使之更适合不同领域信息的展示要求和群众浏览使用需求。</w:t>
      </w:r>
    </w:p>
    <w:p>
      <w:pPr>
        <w:pStyle w:val="12"/>
        <w:spacing w:line="560" w:lineRule="exact"/>
        <w:ind w:firstLine="640"/>
        <w:rPr>
          <w:rFonts w:hAnsi="楷体"/>
        </w:rPr>
      </w:pPr>
      <w:r>
        <w:rPr>
          <w:rFonts w:hint="eastAsia" w:hAnsi="楷体"/>
        </w:rPr>
        <w:t>同时，全面落实《政府信息公开条例》第二十条规定的法定主动公开内容，具体情况如下：</w:t>
      </w:r>
    </w:p>
    <w:p>
      <w:pPr>
        <w:spacing w:line="560" w:lineRule="exact"/>
        <w:ind w:firstLine="640" w:firstLineChars="200"/>
      </w:pPr>
      <w:r>
        <w:rPr>
          <w:rFonts w:hint="eastAsia"/>
        </w:rPr>
        <w:t>1</w:t>
      </w:r>
      <w:r>
        <w:rPr>
          <w:rFonts w:hint="eastAsia" w:hAnsi="仿宋_GB2312" w:cs="仿宋_GB2312"/>
        </w:rPr>
        <w:t>．</w:t>
      </w:r>
      <w:r>
        <w:rPr>
          <w:rFonts w:hint="eastAsia"/>
        </w:rPr>
        <w:t>行政规范性文件信息。严格执行行政规范性文件的制作、发布和解读要求，在区政府门户网站设置“行政规范性文件”专栏，集中公开、分类展示区政府和部门的行政规范性文件、政策解读以及备案清理信息，精确展示行政规范性文件的文号、文件登记号、成文日期、有效性等要素。</w:t>
      </w:r>
    </w:p>
    <w:p>
      <w:pPr>
        <w:spacing w:line="560" w:lineRule="exact"/>
        <w:ind w:firstLine="640" w:firstLineChars="200"/>
      </w:pPr>
      <w:r>
        <w:rPr>
          <w:rFonts w:hint="eastAsia"/>
        </w:rPr>
        <w:t>2</w:t>
      </w:r>
      <w:r>
        <w:rPr>
          <w:rFonts w:hint="eastAsia" w:hAnsi="仿宋_GB2312" w:cs="仿宋_GB2312"/>
        </w:rPr>
        <w:t>．</w:t>
      </w:r>
      <w:r>
        <w:rPr>
          <w:rFonts w:hint="eastAsia"/>
        </w:rPr>
        <w:t>机关职能、机构设置等信息。区政府门户网站设置“政府机构”专栏，细分为部门领导、主要职责、内设机构和联系方式，集中发布区政府领导分工，区行政机关的机关职能、机构设置、领导分工、办公地址、办公时间、联系方式等信息，实行动态管理，及时维护更新相关内容。</w:t>
      </w:r>
    </w:p>
    <w:p>
      <w:pPr>
        <w:spacing w:line="560" w:lineRule="exact"/>
        <w:ind w:firstLine="640" w:firstLineChars="200"/>
      </w:pPr>
      <w:r>
        <w:rPr>
          <w:rFonts w:hint="eastAsia"/>
        </w:rPr>
        <w:t>3</w:t>
      </w:r>
      <w:r>
        <w:rPr>
          <w:rFonts w:hint="eastAsia" w:hAnsi="仿宋_GB2312" w:cs="仿宋_GB2312"/>
        </w:rPr>
        <w:t>．</w:t>
      </w:r>
      <w:r>
        <w:rPr>
          <w:rFonts w:hint="eastAsia"/>
        </w:rPr>
        <w:t>国民经济和社会发展规划等信息。主动发布国民经济和社会发展规划计划、重大政策措施、重要工作报告等信息，增强区域规划、宏观经济和产业发展引导。</w:t>
      </w:r>
    </w:p>
    <w:p>
      <w:pPr>
        <w:spacing w:line="560" w:lineRule="exact"/>
        <w:ind w:firstLine="640" w:firstLineChars="200"/>
      </w:pPr>
      <w:r>
        <w:rPr>
          <w:rFonts w:hint="eastAsia"/>
        </w:rPr>
        <w:t>4</w:t>
      </w:r>
      <w:r>
        <w:rPr>
          <w:rFonts w:hint="eastAsia" w:hAnsi="仿宋_GB2312" w:cs="仿宋_GB2312"/>
        </w:rPr>
        <w:t>．</w:t>
      </w:r>
      <w:r>
        <w:rPr>
          <w:rFonts w:hint="eastAsia"/>
        </w:rPr>
        <w:t>国民经济和社会发展统计信息。设置“统计信息”专栏，每月发布国民经济和社会发展主要指标完成情况等统计数据，按季度发布主要经济指标简讯以及统计法规政策等信息，充分发挥对人民群众生产生活的服务作用。</w:t>
      </w:r>
    </w:p>
    <w:p>
      <w:pPr>
        <w:spacing w:line="560" w:lineRule="exact"/>
        <w:ind w:firstLine="640" w:firstLineChars="200"/>
      </w:pPr>
      <w:r>
        <w:rPr>
          <w:rFonts w:hint="eastAsia"/>
        </w:rPr>
        <w:t>5</w:t>
      </w:r>
      <w:r>
        <w:rPr>
          <w:rFonts w:hint="eastAsia" w:hAnsi="仿宋_GB2312" w:cs="仿宋_GB2312"/>
        </w:rPr>
        <w:t>．</w:t>
      </w:r>
      <w:r>
        <w:rPr>
          <w:rFonts w:hint="eastAsia"/>
        </w:rPr>
        <w:t>办理行政许可和其他对外管理服务事项的依据、条件、程序以及办理结果信息。集中发布各行政机关行政许可和其他对外管理服务事项的办事指南，包括基本信息、受理条件、办理流程等内容，实现在线办理</w:t>
      </w:r>
    </w:p>
    <w:p>
      <w:pPr>
        <w:spacing w:line="560" w:lineRule="exact"/>
        <w:ind w:firstLine="640" w:firstLineChars="200"/>
      </w:pPr>
      <w:r>
        <w:rPr>
          <w:rFonts w:hint="eastAsia"/>
        </w:rPr>
        <w:t>6</w:t>
      </w:r>
      <w:r>
        <w:rPr>
          <w:rFonts w:hint="eastAsia" w:hAnsi="仿宋_GB2312" w:cs="仿宋_GB2312"/>
        </w:rPr>
        <w:t>．</w:t>
      </w:r>
      <w:r>
        <w:rPr>
          <w:rFonts w:hint="eastAsia"/>
        </w:rPr>
        <w:t>实施行政处罚、行政强制的依据、条件、程序以及行政处罚决定信息。集中发布区各行政机关行政处罚、行政强制的办事指南，包括依据、办理流程等内容。</w:t>
      </w:r>
    </w:p>
    <w:p>
      <w:pPr>
        <w:spacing w:line="560" w:lineRule="exact"/>
        <w:ind w:firstLine="640" w:firstLineChars="200"/>
      </w:pPr>
      <w:r>
        <w:rPr>
          <w:rFonts w:hint="eastAsia"/>
        </w:rPr>
        <w:t>7</w:t>
      </w:r>
      <w:r>
        <w:rPr>
          <w:rFonts w:hint="eastAsia" w:hAnsi="仿宋_GB2312" w:cs="仿宋_GB2312"/>
        </w:rPr>
        <w:t>．</w:t>
      </w:r>
      <w:r>
        <w:rPr>
          <w:rFonts w:hint="eastAsia"/>
        </w:rPr>
        <w:t>财政预算、决算和审计信息。不断加大财政信息公开力度，大力推动区级项目预算、绩效评价结果、政府债务限额等信息公开。每月发布一般公共预算收支情况，并做好市级财政专项资金、中央补助地方财政专项资金相关信息公开。持续做好审计信息公开，切实加强资金使用监督。</w:t>
      </w:r>
    </w:p>
    <w:p>
      <w:pPr>
        <w:spacing w:line="560" w:lineRule="exact"/>
        <w:ind w:firstLine="640" w:firstLineChars="200"/>
      </w:pPr>
      <w:r>
        <w:rPr>
          <w:rFonts w:hint="eastAsia"/>
        </w:rPr>
        <w:t>8</w:t>
      </w:r>
      <w:r>
        <w:rPr>
          <w:rFonts w:hint="eastAsia" w:hAnsi="仿宋_GB2312" w:cs="仿宋_GB2312"/>
        </w:rPr>
        <w:t>．</w:t>
      </w:r>
      <w:r>
        <w:rPr>
          <w:rFonts w:hint="eastAsia"/>
        </w:rPr>
        <w:t>行政事业性收费项目及其依据、标准信息。主动发布《行政事业性收费目录清单的通知》，内容包括本区各项行政事业性收费的具体项目名称、收费部门、收费标准、资金管理方式、政策依据和批准文号等。</w:t>
      </w:r>
    </w:p>
    <w:p>
      <w:pPr>
        <w:spacing w:line="560" w:lineRule="exact"/>
        <w:ind w:firstLine="640" w:firstLineChars="200"/>
      </w:pPr>
      <w:r>
        <w:rPr>
          <w:rFonts w:hint="eastAsia"/>
        </w:rPr>
        <w:t>9</w:t>
      </w:r>
      <w:r>
        <w:rPr>
          <w:rFonts w:hint="eastAsia" w:hAnsi="仿宋_GB2312" w:cs="仿宋_GB2312"/>
        </w:rPr>
        <w:t>．</w:t>
      </w:r>
      <w:r>
        <w:rPr>
          <w:rFonts w:hint="eastAsia"/>
        </w:rPr>
        <w:t>政府集中采购项目实施情况信息。严格做好本区政府集中采购以及相关信息公开工作，集中公开采购公告、招标公告、采购合同、采购结果、招标文件、询价公告、竞争性磋商公告、澄清公告、集市成交公告等信息，以及监督处理类信息，包括投诉处理决定公告、违法失信行为记录监督处罚、集中采购考核结果公告等。</w:t>
      </w:r>
    </w:p>
    <w:p>
      <w:pPr>
        <w:spacing w:line="560" w:lineRule="exact"/>
        <w:ind w:firstLine="640" w:firstLineChars="200"/>
      </w:pPr>
      <w:r>
        <w:rPr>
          <w:rFonts w:hint="eastAsia"/>
        </w:rPr>
        <w:t>10</w:t>
      </w:r>
      <w:r>
        <w:rPr>
          <w:rFonts w:hint="eastAsia" w:hAnsi="仿宋_GB2312" w:cs="仿宋_GB2312"/>
        </w:rPr>
        <w:t>．</w:t>
      </w:r>
      <w:r>
        <w:rPr>
          <w:rFonts w:hint="eastAsia"/>
        </w:rPr>
        <w:t>重大建设项目的批准和实施情况信息。按项目集中公开批准结果、招投标、征收土地、重大设计变更、施竣工信息、质量安全监督、项目法人单位项目等信息,实现全生命周期信息公开。</w:t>
      </w:r>
    </w:p>
    <w:p>
      <w:pPr>
        <w:spacing w:line="560" w:lineRule="exact"/>
        <w:ind w:firstLine="640" w:firstLineChars="200"/>
      </w:pPr>
      <w:r>
        <w:rPr>
          <w:rFonts w:hint="eastAsia"/>
        </w:rPr>
        <w:t>11</w:t>
      </w:r>
      <w:r>
        <w:rPr>
          <w:rFonts w:hint="eastAsia" w:hAnsi="仿宋_GB2312" w:cs="仿宋_GB2312"/>
        </w:rPr>
        <w:t>．</w:t>
      </w:r>
      <w:r>
        <w:rPr>
          <w:rFonts w:hint="eastAsia"/>
        </w:rPr>
        <w:t>扶贫、教育、医疗、社会保障、促进就业等方面的政策、措施及其实施情况信息。在扶贫方面，依托区政府门户网站信息公开专栏的“扶贫脱困”专题，集中发布政策措施、项目进展及相关动态，坚持需求导向，定向帮扶受众，不断加大公开力度。在教育方面，发布本区义务教育阶段学校招生入学工作的实施意见、中小学招生计划等政策措施，有针对性地开展政策解读，通过招生考试、教育督导、学生管理等专栏，分类展示相关工作实施情况。在促进就业方面，集中公开促进就业专项资金公示、就业困难人员就业补贴等信息，提供精准帮扶服务。</w:t>
      </w:r>
    </w:p>
    <w:p>
      <w:pPr>
        <w:spacing w:line="560" w:lineRule="exact"/>
        <w:ind w:firstLine="640" w:firstLineChars="200"/>
      </w:pPr>
      <w:r>
        <w:rPr>
          <w:rFonts w:hint="eastAsia"/>
        </w:rPr>
        <w:t>12</w:t>
      </w:r>
      <w:r>
        <w:rPr>
          <w:rFonts w:hint="eastAsia" w:hAnsi="仿宋_GB2312" w:cs="仿宋_GB2312"/>
        </w:rPr>
        <w:t>．</w:t>
      </w:r>
      <w:r>
        <w:rPr>
          <w:rFonts w:hint="eastAsia"/>
        </w:rPr>
        <w:t>突发公共事件的应急预案、预警信息。发布相关信息，全面提高防范化解重大风险的防控能力。</w:t>
      </w:r>
    </w:p>
    <w:p>
      <w:pPr>
        <w:spacing w:line="560" w:lineRule="exact"/>
        <w:ind w:firstLine="640" w:firstLineChars="200"/>
      </w:pPr>
      <w:r>
        <w:rPr>
          <w:rFonts w:hint="eastAsia"/>
        </w:rPr>
        <w:t>13</w:t>
      </w:r>
      <w:r>
        <w:rPr>
          <w:rFonts w:hint="eastAsia" w:hAnsi="仿宋_GB2312" w:cs="仿宋_GB2312"/>
        </w:rPr>
        <w:t>．</w:t>
      </w:r>
      <w:r>
        <w:rPr>
          <w:rFonts w:hint="eastAsia"/>
        </w:rPr>
        <w:t>环境保护、公共卫生、安全生产、食品药品、产品质量的监督检查情况。关于环境保护，公开本区重点排污单位名录，加强监管力度，公开重点污染源基本信息、污染源监督性监测、污染源总量控制、污染防治、监察与执法信息、行政处罚、环境应急等监督检查信息。关于公共卫生，通过区政府门户网站按季度公开二次供水（水龙头供水）水质监测结果。关于安全生产，不断提高安全生产政策措施和监督结果公开透明度，及时公开事故调查报告信息等监督检查信息，切实消除公众疑虑。关于食品药品，公布餐饮监督抽检信息、每季度食品安全监督抽样信息以及日常监督检查情况公示表。</w:t>
      </w:r>
    </w:p>
    <w:p>
      <w:pPr>
        <w:spacing w:line="560" w:lineRule="exact"/>
        <w:ind w:firstLine="640" w:firstLineChars="200"/>
        <w:rPr>
          <w:rFonts w:hAnsi="黑体"/>
          <w:kern w:val="0"/>
        </w:rPr>
      </w:pPr>
      <w:r>
        <w:rPr>
          <w:rFonts w:hint="eastAsia"/>
        </w:rPr>
        <w:t>14</w:t>
      </w:r>
      <w:r>
        <w:rPr>
          <w:rFonts w:hint="eastAsia" w:hAnsi="仿宋_GB2312" w:cs="仿宋_GB2312"/>
        </w:rPr>
        <w:t>．</w:t>
      </w:r>
      <w:r>
        <w:rPr>
          <w:rFonts w:hint="eastAsia"/>
        </w:rPr>
        <w:t>公务员招录等信息。公开公务员招生简章，包括招考报名条件、报考程序、考试内容、时间、地点、职位、名额等详细信息，并公示拟录用、录用人员名单。</w:t>
      </w:r>
    </w:p>
    <w:p>
      <w:pPr>
        <w:pStyle w:val="12"/>
        <w:spacing w:line="560" w:lineRule="exact"/>
        <w:ind w:firstLine="640"/>
        <w:rPr>
          <w:rFonts w:hAnsi="黑体"/>
          <w:kern w:val="0"/>
        </w:rPr>
      </w:pPr>
      <w:r>
        <w:rPr>
          <w:rFonts w:hint="eastAsia" w:ascii="楷体_GB2312" w:hAnsi="楷体_GB2312" w:eastAsia="楷体_GB2312" w:cs="楷体_GB2312"/>
          <w:kern w:val="0"/>
        </w:rPr>
        <w:t>（三）人大代表建议和政协提案办理结果情况：</w:t>
      </w:r>
      <w:r>
        <w:rPr>
          <w:rFonts w:hint="eastAsia"/>
          <w:kern w:val="0"/>
        </w:rPr>
        <w:t>2022年，区政府系统共承办人大代表建议239件，两会期间100件，闭会期间139件。按领域分类，城建环保类67件，农村农业类33件，公路交通类51件，财政经济类28件，科教文卫类34件，社会建设类22件，其它4件。截至目前，已解决或部分解决154件（A类），占比64%；正在解决或已列入计划拟解决的69件（B类），占比29%；因条件限制暂时无法解决16件（C类），占比7%；不可行或不能解决0件（D类）。</w:t>
      </w:r>
    </w:p>
    <w:p>
      <w:pPr>
        <w:spacing w:line="560" w:lineRule="exact"/>
        <w:ind w:firstLine="640" w:firstLineChars="200"/>
        <w:rPr>
          <w:kern w:val="0"/>
        </w:rPr>
      </w:pPr>
      <w:r>
        <w:rPr>
          <w:rFonts w:hint="eastAsia"/>
          <w:kern w:val="0"/>
        </w:rPr>
        <w:t>共承办政协委员提案172件，其中，涉及城建环保方面8件，农业农村方面22件，公路交通方面24件，经济建设方面26件，科教文卫方面36件，社会建设方面45件，其他方面11件。截至目前全部办复完毕，交办率、答复率、满意率均为100%。其中，已解决和正在解决的159件，占比92.4%；因条件限制留待以后解决的11件；暂不具备条件或无法解决的2件。</w:t>
      </w:r>
    </w:p>
    <w:p>
      <w:pPr>
        <w:spacing w:line="560" w:lineRule="exact"/>
        <w:ind w:firstLine="640" w:firstLineChars="200"/>
        <w:rPr>
          <w:rFonts w:hAnsi="楷体_GB2312" w:cs="楷体_GB2312"/>
          <w:kern w:val="0"/>
        </w:rPr>
      </w:pPr>
      <w:r>
        <w:rPr>
          <w:rFonts w:hint="eastAsia" w:ascii="楷体_GB2312" w:hAnsi="楷体_GB2312" w:eastAsia="楷体_GB2312" w:cs="楷体_GB2312"/>
          <w:kern w:val="0"/>
        </w:rPr>
        <w:t>（四）政务公开工作创新情况：</w:t>
      </w:r>
      <w:r>
        <w:rPr>
          <w:rFonts w:hint="eastAsia"/>
          <w:kern w:val="0"/>
        </w:rPr>
        <w:t>一是健全信息发布审核机制。明确各单位政务公开工作责任人，业务科室信息发布前需经责任人审核，保证信息发布规范性。二是搭建政务公开数字化新平台。以市级政务公开数字化平台为依托，结合我区实际打造新平台。新平台的前台页面信息展示更加直观，后台信息发布更加便捷，管理员操作自由度更高。</w:t>
      </w:r>
    </w:p>
    <w:p>
      <w:pPr>
        <w:spacing w:line="560" w:lineRule="exact"/>
        <w:ind w:firstLine="640" w:firstLineChars="200"/>
        <w:rPr>
          <w:kern w:val="0"/>
        </w:rPr>
      </w:pPr>
      <w:r>
        <w:rPr>
          <w:rFonts w:hint="eastAsia" w:ascii="楷体_GB2312" w:hAnsi="楷体_GB2312" w:eastAsia="楷体_GB2312" w:cs="楷体_GB2312"/>
          <w:kern w:val="0"/>
        </w:rPr>
        <w:t>（五）</w:t>
      </w:r>
      <w:r>
        <w:rPr>
          <w:rFonts w:hint="eastAsia" w:ascii="楷体_GB2312" w:eastAsia="楷体_GB2312"/>
          <w:kern w:val="0"/>
        </w:rPr>
        <w:t>信息公开工作年度报告数据统计需要说明的事项：</w:t>
      </w:r>
      <w:r>
        <w:rPr>
          <w:rFonts w:hint="eastAsia"/>
          <w:kern w:val="0"/>
        </w:rPr>
        <w:t>收到和处理政府信息公开申请情况中第六项“其他处理”的1</w:t>
      </w:r>
      <w:r>
        <w:rPr>
          <w:kern w:val="0"/>
        </w:rPr>
        <w:t>1</w:t>
      </w:r>
      <w:r>
        <w:rPr>
          <w:rFonts w:hint="eastAsia"/>
          <w:kern w:val="0"/>
        </w:rPr>
        <w:t>件为申请人申请信息不存在。</w:t>
      </w:r>
    </w:p>
    <w:p>
      <w:pPr>
        <w:pStyle w:val="12"/>
        <w:spacing w:line="560" w:lineRule="exact"/>
        <w:ind w:firstLine="640"/>
        <w:rPr>
          <w:rFonts w:ascii="楷体_GB2312" w:hAnsi="仿宋_GB2312" w:eastAsia="楷体_GB2312" w:cs="仿宋_GB2312"/>
          <w:kern w:val="0"/>
        </w:rPr>
      </w:pPr>
      <w:r>
        <w:rPr>
          <w:rFonts w:hint="eastAsia" w:ascii="楷体_GB2312" w:hAnsi="楷体_GB2312" w:eastAsia="楷体_GB2312" w:cs="楷体_GB2312"/>
          <w:kern w:val="0"/>
        </w:rPr>
        <w:t>（六）</w:t>
      </w:r>
      <w:r>
        <w:rPr>
          <w:rFonts w:hint="eastAsia" w:ascii="楷体_GB2312" w:hAnsi="仿宋_GB2312" w:eastAsia="楷体_GB2312" w:cs="仿宋_GB2312"/>
          <w:kern w:val="0"/>
        </w:rPr>
        <w:t>无需要报告的其他事项；</w:t>
      </w:r>
    </w:p>
    <w:p>
      <w:pPr>
        <w:pStyle w:val="12"/>
        <w:spacing w:line="560" w:lineRule="exact"/>
        <w:ind w:firstLine="640"/>
        <w:rPr>
          <w:rFonts w:ascii="楷体_GB2312" w:hAnsi="仿宋_GB2312" w:eastAsia="楷体_GB2312" w:cs="仿宋_GB2312"/>
          <w:kern w:val="0"/>
        </w:rPr>
      </w:pPr>
      <w:r>
        <w:rPr>
          <w:rFonts w:hint="eastAsia" w:ascii="楷体_GB2312" w:hAnsi="楷体_GB2312" w:eastAsia="楷体_GB2312" w:cs="楷体_GB2312"/>
          <w:kern w:val="0"/>
        </w:rPr>
        <w:t>（七）</w:t>
      </w:r>
      <w:r>
        <w:rPr>
          <w:rFonts w:hint="eastAsia" w:ascii="楷体_GB2312" w:hAnsi="仿宋_GB2312" w:eastAsia="楷体_GB2312" w:cs="仿宋_GB2312"/>
          <w:kern w:val="0"/>
        </w:rPr>
        <w:t>无其他有关文件专门要求通过政府信息公开工作年度报告予以报告的事项。</w:t>
      </w:r>
    </w:p>
    <w:sectPr>
      <w:footerReference r:id="rId3" w:type="default"/>
      <w:pgSz w:w="11906" w:h="16838"/>
      <w:pgMar w:top="1616" w:right="1531" w:bottom="1531"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ascii="宋体" w:eastAsia="宋体"/>
        <w:sz w:val="28"/>
        <w:szCs w:val="28"/>
      </w:rPr>
    </w:pPr>
    <w:r>
      <w:rPr>
        <w:rFonts w:hint="eastAsia" w:ascii="宋体" w:eastAsia="宋体"/>
        <w:sz w:val="28"/>
        <w:szCs w:val="28"/>
      </w:rPr>
      <w:t xml:space="preserve">— </w:t>
    </w:r>
    <w:sdt>
      <w:sdtPr>
        <w:rPr>
          <w:rFonts w:ascii="宋体" w:eastAsia="宋体"/>
          <w:sz w:val="28"/>
          <w:szCs w:val="28"/>
        </w:rPr>
        <w:id w:val="156277095"/>
        <w:docPartObj>
          <w:docPartGallery w:val="AutoText"/>
        </w:docPartObj>
      </w:sdtPr>
      <w:sdtEndPr>
        <w:rPr>
          <w:rFonts w:ascii="宋体" w:eastAsia="宋体"/>
          <w:sz w:val="28"/>
          <w:szCs w:val="28"/>
        </w:rPr>
      </w:sdtEndPr>
      <w:sdtContent>
        <w:r>
          <w:rPr>
            <w:rFonts w:ascii="宋体" w:eastAsia="宋体"/>
            <w:sz w:val="28"/>
            <w:szCs w:val="28"/>
          </w:rPr>
          <w:fldChar w:fldCharType="begin"/>
        </w:r>
        <w:r>
          <w:rPr>
            <w:rFonts w:ascii="宋体" w:eastAsia="宋体"/>
            <w:sz w:val="28"/>
            <w:szCs w:val="28"/>
          </w:rPr>
          <w:instrText xml:space="preserve">PAGE   \* MERGEFORMAT</w:instrText>
        </w:r>
        <w:r>
          <w:rPr>
            <w:rFonts w:ascii="宋体" w:eastAsia="宋体"/>
            <w:sz w:val="28"/>
            <w:szCs w:val="28"/>
          </w:rPr>
          <w:fldChar w:fldCharType="separate"/>
        </w:r>
        <w:r>
          <w:rPr>
            <w:rFonts w:ascii="宋体" w:eastAsia="宋体"/>
            <w:sz w:val="28"/>
            <w:szCs w:val="28"/>
            <w:lang w:val="zh-CN"/>
          </w:rPr>
          <w:t>2</w:t>
        </w:r>
        <w:r>
          <w:rPr>
            <w:rFonts w:ascii="宋体" w:eastAsia="宋体"/>
            <w:sz w:val="28"/>
            <w:szCs w:val="28"/>
          </w:rPr>
          <w:fldChar w:fldCharType="end"/>
        </w:r>
        <w:r>
          <w:rPr>
            <w:rFonts w:ascii="宋体" w:eastAsia="宋体"/>
            <w:sz w:val="28"/>
            <w:szCs w:val="28"/>
          </w:rPr>
          <w:t xml:space="preserve"> </w:t>
        </w:r>
        <w:r>
          <w:rPr>
            <w:rFonts w:hint="eastAsia" w:ascii="宋体" w:eastAsia="宋体"/>
            <w:sz w:val="28"/>
            <w:szCs w:val="28"/>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17C922"/>
    <w:multiLevelType w:val="singleLevel"/>
    <w:tmpl w:val="2117C922"/>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1YWJlZDJlYmQwNGYzNjQ1NGEzZDFmZjE4OWZkNmUifQ=="/>
    <w:docVar w:name="KSO_WPS_MARK_KEY" w:val="43f3eac4-a4c5-4f9f-9ba8-4a9983d5a45c"/>
  </w:docVars>
  <w:rsids>
    <w:rsidRoot w:val="0079193D"/>
    <w:rsid w:val="000B4D87"/>
    <w:rsid w:val="000C2976"/>
    <w:rsid w:val="00102260"/>
    <w:rsid w:val="001111CC"/>
    <w:rsid w:val="0018663F"/>
    <w:rsid w:val="002E2C08"/>
    <w:rsid w:val="004A021E"/>
    <w:rsid w:val="00594665"/>
    <w:rsid w:val="005E0B50"/>
    <w:rsid w:val="00625219"/>
    <w:rsid w:val="006738B8"/>
    <w:rsid w:val="00736AA3"/>
    <w:rsid w:val="0079193D"/>
    <w:rsid w:val="007C43F7"/>
    <w:rsid w:val="00994E4E"/>
    <w:rsid w:val="009F07D5"/>
    <w:rsid w:val="00B14951"/>
    <w:rsid w:val="00C645CA"/>
    <w:rsid w:val="00C65076"/>
    <w:rsid w:val="00E250D8"/>
    <w:rsid w:val="00EF2DAB"/>
    <w:rsid w:val="00F34859"/>
    <w:rsid w:val="00F425D9"/>
    <w:rsid w:val="00F9643F"/>
    <w:rsid w:val="01536131"/>
    <w:rsid w:val="01745EA2"/>
    <w:rsid w:val="0265205E"/>
    <w:rsid w:val="028A09CF"/>
    <w:rsid w:val="0294067C"/>
    <w:rsid w:val="02BF77F6"/>
    <w:rsid w:val="02F6716B"/>
    <w:rsid w:val="03441469"/>
    <w:rsid w:val="03AE0B18"/>
    <w:rsid w:val="04B70785"/>
    <w:rsid w:val="04E70B39"/>
    <w:rsid w:val="04EA6DAD"/>
    <w:rsid w:val="05247740"/>
    <w:rsid w:val="054652B6"/>
    <w:rsid w:val="06413E44"/>
    <w:rsid w:val="065A1D10"/>
    <w:rsid w:val="069A27E5"/>
    <w:rsid w:val="072F4F4B"/>
    <w:rsid w:val="0776684A"/>
    <w:rsid w:val="078B414B"/>
    <w:rsid w:val="07E42B75"/>
    <w:rsid w:val="08634780"/>
    <w:rsid w:val="0913264A"/>
    <w:rsid w:val="09AD0E55"/>
    <w:rsid w:val="0AB80DB3"/>
    <w:rsid w:val="0BBA5954"/>
    <w:rsid w:val="0BCE186D"/>
    <w:rsid w:val="0C04648B"/>
    <w:rsid w:val="0C2C3FBB"/>
    <w:rsid w:val="0D1150F2"/>
    <w:rsid w:val="0D662D48"/>
    <w:rsid w:val="0D6B4803"/>
    <w:rsid w:val="0D9F46A8"/>
    <w:rsid w:val="0ED777E6"/>
    <w:rsid w:val="0EDE1004"/>
    <w:rsid w:val="0EE213FB"/>
    <w:rsid w:val="0F125DC2"/>
    <w:rsid w:val="0F4C5F6E"/>
    <w:rsid w:val="0FD05A1E"/>
    <w:rsid w:val="0FDE4941"/>
    <w:rsid w:val="10AB142F"/>
    <w:rsid w:val="11E74B6B"/>
    <w:rsid w:val="12045226"/>
    <w:rsid w:val="12255DEB"/>
    <w:rsid w:val="122B41BD"/>
    <w:rsid w:val="12A367ED"/>
    <w:rsid w:val="13985C26"/>
    <w:rsid w:val="13BD38DE"/>
    <w:rsid w:val="13CA02A2"/>
    <w:rsid w:val="14CF38C9"/>
    <w:rsid w:val="15891CCA"/>
    <w:rsid w:val="159863B1"/>
    <w:rsid w:val="161A5018"/>
    <w:rsid w:val="165C2FB5"/>
    <w:rsid w:val="16A3229C"/>
    <w:rsid w:val="16E60821"/>
    <w:rsid w:val="187B2616"/>
    <w:rsid w:val="18D60186"/>
    <w:rsid w:val="18FC7971"/>
    <w:rsid w:val="1A3B37AF"/>
    <w:rsid w:val="1A3D7527"/>
    <w:rsid w:val="1ABA46D4"/>
    <w:rsid w:val="1AFD7244"/>
    <w:rsid w:val="1B632FBD"/>
    <w:rsid w:val="1B925650"/>
    <w:rsid w:val="1BA3785E"/>
    <w:rsid w:val="1C56430D"/>
    <w:rsid w:val="1C6E5776"/>
    <w:rsid w:val="1C7D00AF"/>
    <w:rsid w:val="1C890A10"/>
    <w:rsid w:val="1CD63A5F"/>
    <w:rsid w:val="1CE75528"/>
    <w:rsid w:val="1DD6791B"/>
    <w:rsid w:val="1E0A3BC4"/>
    <w:rsid w:val="1E2A6BDB"/>
    <w:rsid w:val="1E530B8E"/>
    <w:rsid w:val="1F2B68E7"/>
    <w:rsid w:val="20A774A8"/>
    <w:rsid w:val="20E320AC"/>
    <w:rsid w:val="20E6031F"/>
    <w:rsid w:val="212D20A3"/>
    <w:rsid w:val="215E1631"/>
    <w:rsid w:val="2212051B"/>
    <w:rsid w:val="22364F87"/>
    <w:rsid w:val="225311A2"/>
    <w:rsid w:val="2285384E"/>
    <w:rsid w:val="22E64023"/>
    <w:rsid w:val="22F4274D"/>
    <w:rsid w:val="23965F69"/>
    <w:rsid w:val="23E71A2C"/>
    <w:rsid w:val="23E92264"/>
    <w:rsid w:val="24155071"/>
    <w:rsid w:val="242B4894"/>
    <w:rsid w:val="24CF0BE3"/>
    <w:rsid w:val="257C53A7"/>
    <w:rsid w:val="25BA5ED0"/>
    <w:rsid w:val="260B7C08"/>
    <w:rsid w:val="261849A4"/>
    <w:rsid w:val="269E134D"/>
    <w:rsid w:val="27135897"/>
    <w:rsid w:val="27181100"/>
    <w:rsid w:val="274A6DDF"/>
    <w:rsid w:val="275E288B"/>
    <w:rsid w:val="28441ACB"/>
    <w:rsid w:val="287C25DA"/>
    <w:rsid w:val="290F6532"/>
    <w:rsid w:val="29CE15E0"/>
    <w:rsid w:val="2A2E4796"/>
    <w:rsid w:val="2B0C0CF8"/>
    <w:rsid w:val="2B696EC7"/>
    <w:rsid w:val="2BE75544"/>
    <w:rsid w:val="2C340A42"/>
    <w:rsid w:val="2CCD2011"/>
    <w:rsid w:val="2D162E4A"/>
    <w:rsid w:val="2D2325AC"/>
    <w:rsid w:val="2E0A72C8"/>
    <w:rsid w:val="2ECD136A"/>
    <w:rsid w:val="2EF35FAE"/>
    <w:rsid w:val="2F9B6109"/>
    <w:rsid w:val="2FDB53C0"/>
    <w:rsid w:val="319E6AFC"/>
    <w:rsid w:val="32935ADE"/>
    <w:rsid w:val="32FD11AA"/>
    <w:rsid w:val="33185093"/>
    <w:rsid w:val="339C3875"/>
    <w:rsid w:val="33B3633A"/>
    <w:rsid w:val="3489363D"/>
    <w:rsid w:val="35C57746"/>
    <w:rsid w:val="36011B29"/>
    <w:rsid w:val="37EC3F5E"/>
    <w:rsid w:val="38A071A7"/>
    <w:rsid w:val="38E52E0C"/>
    <w:rsid w:val="391D25A6"/>
    <w:rsid w:val="397E49E4"/>
    <w:rsid w:val="39A16D33"/>
    <w:rsid w:val="39A22FF5"/>
    <w:rsid w:val="3A126E39"/>
    <w:rsid w:val="3A661845"/>
    <w:rsid w:val="3B5F50F7"/>
    <w:rsid w:val="3B772E16"/>
    <w:rsid w:val="3C241E9D"/>
    <w:rsid w:val="3D451670"/>
    <w:rsid w:val="3D5C0245"/>
    <w:rsid w:val="3DA27397"/>
    <w:rsid w:val="3DA60DBB"/>
    <w:rsid w:val="3DE713D4"/>
    <w:rsid w:val="3EBC06FE"/>
    <w:rsid w:val="3EE34D7B"/>
    <w:rsid w:val="3F2548AA"/>
    <w:rsid w:val="3F9119DB"/>
    <w:rsid w:val="400221C9"/>
    <w:rsid w:val="40140424"/>
    <w:rsid w:val="40B71100"/>
    <w:rsid w:val="4114244B"/>
    <w:rsid w:val="413D1A37"/>
    <w:rsid w:val="42460D47"/>
    <w:rsid w:val="426D7A8B"/>
    <w:rsid w:val="429733C9"/>
    <w:rsid w:val="42A364C1"/>
    <w:rsid w:val="43C57AC2"/>
    <w:rsid w:val="47241DC7"/>
    <w:rsid w:val="47723ABC"/>
    <w:rsid w:val="479866B0"/>
    <w:rsid w:val="47A82E54"/>
    <w:rsid w:val="49793828"/>
    <w:rsid w:val="49FA3AEE"/>
    <w:rsid w:val="4A377B59"/>
    <w:rsid w:val="4A5541F2"/>
    <w:rsid w:val="4B5A4F93"/>
    <w:rsid w:val="4B695994"/>
    <w:rsid w:val="4B8C0A01"/>
    <w:rsid w:val="4BD01D15"/>
    <w:rsid w:val="4CB34C20"/>
    <w:rsid w:val="4CE82EBC"/>
    <w:rsid w:val="4D251256"/>
    <w:rsid w:val="4D5F4AE3"/>
    <w:rsid w:val="4E245ED0"/>
    <w:rsid w:val="4E616639"/>
    <w:rsid w:val="4EBB043F"/>
    <w:rsid w:val="4F2442CE"/>
    <w:rsid w:val="51312C3A"/>
    <w:rsid w:val="51422751"/>
    <w:rsid w:val="5184720E"/>
    <w:rsid w:val="51A055F9"/>
    <w:rsid w:val="51FB48CE"/>
    <w:rsid w:val="521F08DC"/>
    <w:rsid w:val="523A167B"/>
    <w:rsid w:val="525766D1"/>
    <w:rsid w:val="53CB2ED2"/>
    <w:rsid w:val="53D37FD9"/>
    <w:rsid w:val="53FC7159"/>
    <w:rsid w:val="548D462B"/>
    <w:rsid w:val="54BB1B13"/>
    <w:rsid w:val="559A7000"/>
    <w:rsid w:val="583D0117"/>
    <w:rsid w:val="585C181F"/>
    <w:rsid w:val="58C351AE"/>
    <w:rsid w:val="58D77C23"/>
    <w:rsid w:val="592856EA"/>
    <w:rsid w:val="59310B52"/>
    <w:rsid w:val="597436C4"/>
    <w:rsid w:val="5A0A227A"/>
    <w:rsid w:val="5A4C63EF"/>
    <w:rsid w:val="5A755946"/>
    <w:rsid w:val="5AA31726"/>
    <w:rsid w:val="5BED775E"/>
    <w:rsid w:val="5C2238AB"/>
    <w:rsid w:val="5C2E04A2"/>
    <w:rsid w:val="5C553C81"/>
    <w:rsid w:val="5CCB7A9F"/>
    <w:rsid w:val="5CEB227A"/>
    <w:rsid w:val="5CF74D38"/>
    <w:rsid w:val="5DB1138B"/>
    <w:rsid w:val="5DF124BA"/>
    <w:rsid w:val="5E343482"/>
    <w:rsid w:val="5EFD5F0A"/>
    <w:rsid w:val="5F6441DB"/>
    <w:rsid w:val="5FAA42E4"/>
    <w:rsid w:val="5FB05672"/>
    <w:rsid w:val="601B6B5B"/>
    <w:rsid w:val="607E12CC"/>
    <w:rsid w:val="608337E2"/>
    <w:rsid w:val="60A32AE1"/>
    <w:rsid w:val="60CB36B3"/>
    <w:rsid w:val="60CC2038"/>
    <w:rsid w:val="61A44D62"/>
    <w:rsid w:val="621239AB"/>
    <w:rsid w:val="627C5F72"/>
    <w:rsid w:val="63161698"/>
    <w:rsid w:val="633C42C6"/>
    <w:rsid w:val="63F64B09"/>
    <w:rsid w:val="64BC51F0"/>
    <w:rsid w:val="64DB4F3F"/>
    <w:rsid w:val="651F01E6"/>
    <w:rsid w:val="658150AB"/>
    <w:rsid w:val="65C9123C"/>
    <w:rsid w:val="65FF5ED7"/>
    <w:rsid w:val="66F347C2"/>
    <w:rsid w:val="672C3830"/>
    <w:rsid w:val="67535261"/>
    <w:rsid w:val="68244BEF"/>
    <w:rsid w:val="68A75393"/>
    <w:rsid w:val="691B1DAE"/>
    <w:rsid w:val="69787E25"/>
    <w:rsid w:val="697C3D03"/>
    <w:rsid w:val="6A34524E"/>
    <w:rsid w:val="6B2036AC"/>
    <w:rsid w:val="6BC02799"/>
    <w:rsid w:val="6BC32289"/>
    <w:rsid w:val="6C5A2BED"/>
    <w:rsid w:val="6CBB57D0"/>
    <w:rsid w:val="6CEB7CE9"/>
    <w:rsid w:val="6D8617C0"/>
    <w:rsid w:val="6DBD18DB"/>
    <w:rsid w:val="6EF44517"/>
    <w:rsid w:val="700C41FF"/>
    <w:rsid w:val="70376463"/>
    <w:rsid w:val="709A5CAE"/>
    <w:rsid w:val="70D50A94"/>
    <w:rsid w:val="70DF7B65"/>
    <w:rsid w:val="728C7210"/>
    <w:rsid w:val="72DB610A"/>
    <w:rsid w:val="72E36D0B"/>
    <w:rsid w:val="736D3B5F"/>
    <w:rsid w:val="744060F6"/>
    <w:rsid w:val="74B51309"/>
    <w:rsid w:val="75CC2E8E"/>
    <w:rsid w:val="75D66BC4"/>
    <w:rsid w:val="76D67219"/>
    <w:rsid w:val="76EF5362"/>
    <w:rsid w:val="77242776"/>
    <w:rsid w:val="77446974"/>
    <w:rsid w:val="77642B72"/>
    <w:rsid w:val="77C73933"/>
    <w:rsid w:val="77CA73F2"/>
    <w:rsid w:val="782643AF"/>
    <w:rsid w:val="782B18E2"/>
    <w:rsid w:val="78397B5B"/>
    <w:rsid w:val="78454752"/>
    <w:rsid w:val="78782D79"/>
    <w:rsid w:val="78944712"/>
    <w:rsid w:val="7B615DFB"/>
    <w:rsid w:val="7C26489A"/>
    <w:rsid w:val="7E074257"/>
    <w:rsid w:val="7E230E82"/>
    <w:rsid w:val="7E851D4C"/>
    <w:rsid w:val="7EF223AA"/>
    <w:rsid w:val="7F037115"/>
    <w:rsid w:val="7F703639"/>
    <w:rsid w:val="7FB03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宋体" w:eastAsia="仿宋_GB2312" w:cs="宋体"/>
      <w:kern w:val="2"/>
      <w:sz w:val="32"/>
      <w:szCs w:val="3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customStyle="1" w:styleId="2">
    <w:name w:val="样式 样式 样式 样式 小四 左 首行缩进:  2 字符 + 首行缩进:  2 字符 Char + 右  0 字符1 + 首行缩...3"/>
    <w:basedOn w:val="1"/>
    <w:qFormat/>
    <w:uiPriority w:val="99"/>
    <w:pPr>
      <w:ind w:firstLine="480"/>
      <w:textAlignment w:val="baseline"/>
    </w:pPr>
    <w:rPr>
      <w:sz w:val="24"/>
      <w:szCs w:val="20"/>
    </w:rPr>
  </w:style>
  <w:style w:type="paragraph" w:styleId="3">
    <w:name w:val="footer"/>
    <w:basedOn w:val="1"/>
    <w:link w:val="13"/>
    <w:qFormat/>
    <w:uiPriority w:val="99"/>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iPriority w:val="0"/>
    <w:pPr>
      <w:spacing w:before="100" w:beforeAutospacing="1" w:after="100" w:afterAutospacing="1"/>
      <w:jc w:val="left"/>
    </w:pPr>
    <w:rPr>
      <w:rFonts w:cs="Times New Roman"/>
      <w:kern w:val="0"/>
      <w:sz w:val="24"/>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样式1"/>
    <w:basedOn w:val="1"/>
    <w:qFormat/>
    <w:uiPriority w:val="0"/>
    <w:rPr>
      <w:rFonts w:hint="eastAsia" w:ascii="Calibri" w:hAnsi="Calibri" w:cs="Times New Roman"/>
    </w:rPr>
  </w:style>
  <w:style w:type="paragraph" w:customStyle="1" w:styleId="11">
    <w:name w:val="公文"/>
    <w:basedOn w:val="1"/>
    <w:uiPriority w:val="0"/>
    <w:pPr>
      <w:spacing w:line="600" w:lineRule="exact"/>
      <w:ind w:firstLine="640" w:firstLineChars="200"/>
    </w:pPr>
    <w:rPr>
      <w:rFonts w:hint="eastAsia" w:hAnsi="仿宋_GB2312" w:cs="仿宋_GB2312"/>
      <w:szCs w:val="40"/>
    </w:rPr>
  </w:style>
  <w:style w:type="paragraph" w:customStyle="1" w:styleId="12">
    <w:name w:val="列出段落1"/>
    <w:basedOn w:val="1"/>
    <w:qFormat/>
    <w:uiPriority w:val="34"/>
    <w:pPr>
      <w:ind w:firstLine="420" w:firstLineChars="200"/>
    </w:pPr>
  </w:style>
  <w:style w:type="character" w:customStyle="1" w:styleId="13">
    <w:name w:val="页脚 字符"/>
    <w:basedOn w:val="8"/>
    <w:link w:val="3"/>
    <w:qFormat/>
    <w:uiPriority w:val="99"/>
    <w:rPr>
      <w:rFonts w:ascii="仿宋_GB2312" w:hAnsi="宋体" w:eastAsia="仿宋_GB2312" w:cs="宋体"/>
      <w:kern w:val="2"/>
      <w:sz w:val="1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6114</Words>
  <Characters>6357</Characters>
  <Lines>48</Lines>
  <Paragraphs>13</Paragraphs>
  <TotalTime>9</TotalTime>
  <ScaleCrop>false</ScaleCrop>
  <LinksUpToDate>false</LinksUpToDate>
  <CharactersWithSpaces>6359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2023-02-12T13:53:00Z</dcterms:created>
  <dc:creator>sksjg</dc:creator>
  <cp:lastModifiedBy>胡风磊</cp:lastModifiedBy>
  <dcterms:modified xsi:type="dcterms:W3CDTF">2023-02-13T09:29:20Z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DBB92D84857840F6B12FADF6FB5A108B</vt:lpwstr>
  </property>
</Properties>
</file>