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jc w:val="center"/>
        <w:textAlignment w:val="auto"/>
        <w:rPr>
          <w:rFonts w:hint="eastAsia" w:ascii="仿宋_GB2312" w:hAnsi="仿宋_GB2312" w:eastAsia="仿宋_GB2312" w:cs="仿宋_GB2312"/>
          <w:color w:val="auto"/>
          <w:kern w:val="2"/>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jc w:val="center"/>
        <w:textAlignment w:val="auto"/>
        <w:rPr>
          <w:rFonts w:hint="eastAsia" w:ascii="仿宋_GB2312" w:hAnsi="仿宋_GB2312" w:eastAsia="仿宋_GB2312" w:cs="仿宋_GB2312"/>
          <w:color w:val="auto"/>
          <w:kern w:val="2"/>
          <w:sz w:val="32"/>
          <w:szCs w:val="32"/>
          <w:highlight w:val="none"/>
        </w:rPr>
      </w:pPr>
    </w:p>
    <w:p>
      <w:pPr>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jc w:val="center"/>
        <w:textAlignment w:val="auto"/>
        <w:rPr>
          <w:rFonts w:hint="eastAsia" w:ascii="仿宋_GB2312" w:hAnsi="仿宋_GB2312" w:eastAsia="仿宋_GB2312" w:cs="仿宋_GB2312"/>
          <w:color w:val="auto"/>
          <w:kern w:val="2"/>
          <w:sz w:val="32"/>
          <w:szCs w:val="32"/>
          <w:highlight w:val="none"/>
        </w:rPr>
      </w:pPr>
    </w:p>
    <w:p>
      <w:pPr>
        <w:pStyle w:val="2"/>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32"/>
          <w:szCs w:val="32"/>
          <w:highlight w:val="none"/>
        </w:rPr>
      </w:pPr>
    </w:p>
    <w:p>
      <w:pPr>
        <w:pStyle w:val="2"/>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32"/>
          <w:szCs w:val="32"/>
          <w:highlight w:val="none"/>
        </w:rPr>
      </w:pPr>
    </w:p>
    <w:p>
      <w:pPr>
        <w:pStyle w:val="2"/>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32"/>
          <w:szCs w:val="32"/>
          <w:highlight w:val="none"/>
        </w:rPr>
      </w:pPr>
    </w:p>
    <w:p>
      <w:pPr>
        <w:keepNext w:val="0"/>
        <w:keepLines w:val="0"/>
        <w:pageBreakBefore w:val="0"/>
        <w:widowControl w:val="0"/>
        <w:kinsoku/>
        <w:wordWrap/>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after="0" w:line="520" w:lineRule="exact"/>
        <w:jc w:val="center"/>
        <w:textAlignment w:val="auto"/>
        <w:outlineLvl w:val="0"/>
        <w:rPr>
          <w:rFonts w:hint="eastAsia" w:ascii="仿宋_GB2312" w:hAnsi="仿宋_GB2312" w:eastAsia="仿宋_GB2312" w:cs="仿宋_GB2312"/>
          <w:snapToGrid w:val="0"/>
          <w:color w:val="000000"/>
          <w:spacing w:val="-4"/>
          <w:sz w:val="32"/>
          <w:szCs w:val="32"/>
        </w:rPr>
      </w:pPr>
      <w:r>
        <w:rPr>
          <w:rFonts w:hint="eastAsia" w:ascii="仿宋_GB2312" w:hAnsi="仿宋_GB2312" w:eastAsia="仿宋_GB2312" w:cs="仿宋_GB2312"/>
          <w:snapToGrid w:val="0"/>
          <w:color w:val="000000"/>
          <w:spacing w:val="-4"/>
          <w:sz w:val="32"/>
          <w:szCs w:val="32"/>
        </w:rPr>
        <w:t>济阳政发〔20</w:t>
      </w:r>
      <w:r>
        <w:rPr>
          <w:rFonts w:hint="eastAsia" w:ascii="仿宋_GB2312" w:hAnsi="仿宋_GB2312" w:eastAsia="仿宋_GB2312" w:cs="仿宋_GB2312"/>
          <w:snapToGrid w:val="0"/>
          <w:color w:val="000000"/>
          <w:spacing w:val="-4"/>
          <w:sz w:val="32"/>
          <w:szCs w:val="32"/>
          <w:lang w:val="en-US" w:eastAsia="zh-CN"/>
        </w:rPr>
        <w:t>24</w:t>
      </w:r>
      <w:r>
        <w:rPr>
          <w:rFonts w:hint="eastAsia" w:ascii="仿宋_GB2312" w:hAnsi="仿宋_GB2312" w:eastAsia="仿宋_GB2312" w:cs="仿宋_GB2312"/>
          <w:snapToGrid w:val="0"/>
          <w:color w:val="000000"/>
          <w:spacing w:val="-4"/>
          <w:sz w:val="32"/>
          <w:szCs w:val="32"/>
        </w:rPr>
        <w:t>〕</w:t>
      </w:r>
      <w:r>
        <w:rPr>
          <w:rFonts w:hint="eastAsia" w:ascii="仿宋_GB2312" w:hAnsi="仿宋_GB2312" w:eastAsia="仿宋_GB2312" w:cs="仿宋_GB2312"/>
          <w:snapToGrid w:val="0"/>
          <w:color w:val="000000"/>
          <w:spacing w:val="-4"/>
          <w:sz w:val="32"/>
          <w:szCs w:val="32"/>
          <w:lang w:val="en-US" w:eastAsia="zh-CN"/>
        </w:rPr>
        <w:t>3</w:t>
      </w:r>
      <w:r>
        <w:rPr>
          <w:rFonts w:hint="eastAsia" w:ascii="仿宋_GB2312" w:hAnsi="仿宋_GB2312" w:eastAsia="仿宋_GB2312" w:cs="仿宋_GB2312"/>
          <w:snapToGrid w:val="0"/>
          <w:color w:val="000000"/>
          <w:spacing w:val="-4"/>
          <w:sz w:val="32"/>
          <w:szCs w:val="32"/>
        </w:rPr>
        <w:t>号</w:t>
      </w:r>
    </w:p>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ascii="方正小标宋简体" w:eastAsia="方正小标宋简体"/>
          <w:sz w:val="44"/>
        </w:rPr>
      </w:pPr>
      <w:r>
        <w:rPr>
          <w:rFonts w:hint="eastAsia" w:ascii="方正小标宋简体" w:eastAsia="方正小标宋简体"/>
          <w:sz w:val="44"/>
        </w:rPr>
        <w:t>济南市济阳区人民政府</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方正小标宋简体" w:eastAsia="方正小标宋简体"/>
          <w:sz w:val="44"/>
        </w:rPr>
      </w:pPr>
      <w:r>
        <w:rPr>
          <w:rFonts w:hint="eastAsia" w:ascii="方正小标宋简体" w:eastAsia="方正小标宋简体"/>
          <w:sz w:val="44"/>
        </w:rPr>
        <w:t>关于印发济南市济阳区20</w:t>
      </w:r>
      <w:r>
        <w:rPr>
          <w:rFonts w:hint="eastAsia" w:ascii="方正小标宋简体" w:eastAsia="方正小标宋简体"/>
          <w:sz w:val="44"/>
          <w:lang w:val="en-US" w:eastAsia="zh-CN"/>
        </w:rPr>
        <w:t>24年</w:t>
      </w:r>
      <w:r>
        <w:rPr>
          <w:rFonts w:hint="eastAsia" w:ascii="方正小标宋简体" w:eastAsia="方正小标宋简体"/>
          <w:sz w:val="44"/>
        </w:rPr>
        <w:t>国民经济</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方正小标宋简体" w:eastAsia="方正小标宋简体"/>
          <w:sz w:val="44"/>
        </w:rPr>
      </w:pPr>
      <w:r>
        <w:rPr>
          <w:rFonts w:hint="eastAsia" w:ascii="方正小标宋简体" w:eastAsia="方正小标宋简体"/>
          <w:sz w:val="44"/>
        </w:rPr>
        <w:t>和社会发展计划的通知</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40" w:lineRule="exact"/>
        <w:textAlignment w:val="auto"/>
        <w:rPr>
          <w:rFonts w:hint="eastAsia" w:ascii="仿宋_GB2312" w:hAnsi="仿宋_GB2312" w:eastAsia="仿宋_GB2312" w:cs="仿宋_GB2312"/>
          <w:snapToGrid w:val="0"/>
          <w:spacing w:val="-4"/>
          <w:sz w:val="32"/>
          <w:szCs w:val="32"/>
        </w:rPr>
      </w:pPr>
      <w:bookmarkStart w:id="0" w:name="主送机关"/>
      <w:bookmarkEnd w:id="0"/>
      <w:r>
        <w:rPr>
          <w:rFonts w:hint="eastAsia" w:ascii="仿宋_GB2312" w:hAnsi="仿宋_GB2312" w:eastAsia="仿宋_GB2312" w:cs="仿宋_GB2312"/>
          <w:snapToGrid w:val="0"/>
          <w:spacing w:val="-4"/>
          <w:sz w:val="32"/>
          <w:szCs w:val="32"/>
        </w:rPr>
        <w:t>各镇人民政府，各街道办事处，区政府各部门：</w:t>
      </w:r>
    </w:p>
    <w:p>
      <w:pPr>
        <w:keepNext w:val="0"/>
        <w:keepLines w:val="0"/>
        <w:pageBreakBefore w:val="0"/>
        <w:widowControl w:val="0"/>
        <w:kinsoku/>
        <w:wordWrap/>
        <w:overflowPunct/>
        <w:topLinePunct w:val="0"/>
        <w:autoSpaceDE/>
        <w:autoSpaceDN/>
        <w:bidi w:val="0"/>
        <w:adjustRightInd/>
        <w:snapToGrid/>
        <w:spacing w:after="0" w:line="540" w:lineRule="exact"/>
        <w:ind w:firstLine="624" w:firstLineChars="200"/>
        <w:jc w:val="both"/>
        <w:textAlignment w:val="auto"/>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《济南市济阳区20</w:t>
      </w:r>
      <w:r>
        <w:rPr>
          <w:rFonts w:hint="eastAsia" w:ascii="仿宋_GB2312" w:hAnsi="仿宋_GB2312" w:eastAsia="仿宋_GB2312" w:cs="仿宋_GB2312"/>
          <w:snapToGrid w:val="0"/>
          <w:spacing w:val="-4"/>
          <w:sz w:val="32"/>
          <w:szCs w:val="32"/>
          <w:lang w:val="en-US" w:eastAsia="zh-CN"/>
        </w:rPr>
        <w:t>24</w:t>
      </w:r>
      <w:r>
        <w:rPr>
          <w:rFonts w:hint="eastAsia" w:ascii="仿宋_GB2312" w:hAnsi="仿宋_GB2312" w:eastAsia="仿宋_GB2312" w:cs="仿宋_GB2312"/>
          <w:snapToGrid w:val="0"/>
          <w:spacing w:val="-4"/>
          <w:sz w:val="32"/>
          <w:szCs w:val="32"/>
        </w:rPr>
        <w:t>年国民经济和社会发展计划》已经区第十</w:t>
      </w:r>
      <w:r>
        <w:rPr>
          <w:rFonts w:hint="eastAsia" w:ascii="仿宋_GB2312" w:hAnsi="仿宋_GB2312" w:eastAsia="仿宋_GB2312" w:cs="仿宋_GB2312"/>
          <w:snapToGrid w:val="0"/>
          <w:spacing w:val="-4"/>
          <w:sz w:val="32"/>
          <w:szCs w:val="32"/>
          <w:lang w:val="en-US" w:eastAsia="zh-CN"/>
        </w:rPr>
        <w:t>九</w:t>
      </w:r>
      <w:r>
        <w:rPr>
          <w:rFonts w:hint="eastAsia" w:ascii="仿宋_GB2312" w:hAnsi="仿宋_GB2312" w:eastAsia="仿宋_GB2312" w:cs="仿宋_GB2312"/>
          <w:snapToGrid w:val="0"/>
          <w:spacing w:val="-4"/>
          <w:sz w:val="32"/>
          <w:szCs w:val="32"/>
        </w:rPr>
        <w:t>届人民代表大会第</w:t>
      </w:r>
      <w:r>
        <w:rPr>
          <w:rFonts w:hint="eastAsia" w:ascii="仿宋_GB2312" w:hAnsi="仿宋_GB2312" w:eastAsia="仿宋_GB2312" w:cs="仿宋_GB2312"/>
          <w:snapToGrid w:val="0"/>
          <w:spacing w:val="-4"/>
          <w:sz w:val="32"/>
          <w:szCs w:val="32"/>
          <w:lang w:val="en-US" w:eastAsia="zh-CN"/>
        </w:rPr>
        <w:t>三</w:t>
      </w:r>
      <w:r>
        <w:rPr>
          <w:rFonts w:hint="eastAsia" w:ascii="仿宋_GB2312" w:hAnsi="仿宋_GB2312" w:eastAsia="仿宋_GB2312" w:cs="仿宋_GB2312"/>
          <w:snapToGrid w:val="0"/>
          <w:spacing w:val="-4"/>
          <w:sz w:val="32"/>
          <w:szCs w:val="32"/>
        </w:rPr>
        <w:t>次会议审议通过，现印发给你们，请认真组织实施。</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after="0" w:line="520" w:lineRule="exact"/>
        <w:jc w:val="right"/>
        <w:textAlignment w:val="auto"/>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 xml:space="preserve">济南市济阳区人民政府     </w:t>
      </w:r>
    </w:p>
    <w:p>
      <w:pPr>
        <w:keepNext w:val="0"/>
        <w:keepLines w:val="0"/>
        <w:pageBreakBefore w:val="0"/>
        <w:widowControl w:val="0"/>
        <w:kinsoku/>
        <w:wordWrap w:val="0"/>
        <w:overflowPunct/>
        <w:topLinePunct w:val="0"/>
        <w:autoSpaceDE/>
        <w:autoSpaceDN/>
        <w:bidi w:val="0"/>
        <w:adjustRightInd/>
        <w:snapToGrid/>
        <w:spacing w:after="0" w:line="520" w:lineRule="exact"/>
        <w:jc w:val="right"/>
        <w:textAlignment w:val="auto"/>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20</w:t>
      </w:r>
      <w:r>
        <w:rPr>
          <w:rFonts w:hint="eastAsia" w:ascii="仿宋_GB2312" w:hAnsi="仿宋_GB2312" w:eastAsia="仿宋_GB2312" w:cs="仿宋_GB2312"/>
          <w:snapToGrid w:val="0"/>
          <w:spacing w:val="-4"/>
          <w:sz w:val="32"/>
          <w:szCs w:val="32"/>
          <w:lang w:val="en-US" w:eastAsia="zh-CN"/>
        </w:rPr>
        <w:t>24</w:t>
      </w:r>
      <w:r>
        <w:rPr>
          <w:rFonts w:hint="eastAsia" w:ascii="仿宋_GB2312" w:hAnsi="仿宋_GB2312" w:eastAsia="仿宋_GB2312" w:cs="仿宋_GB2312"/>
          <w:snapToGrid w:val="0"/>
          <w:spacing w:val="-4"/>
          <w:sz w:val="32"/>
          <w:szCs w:val="32"/>
        </w:rPr>
        <w:t>年</w:t>
      </w:r>
      <w:r>
        <w:rPr>
          <w:rFonts w:hint="eastAsia" w:ascii="仿宋_GB2312" w:hAnsi="仿宋_GB2312" w:eastAsia="仿宋_GB2312" w:cs="仿宋_GB2312"/>
          <w:snapToGrid w:val="0"/>
          <w:spacing w:val="-4"/>
          <w:sz w:val="32"/>
          <w:szCs w:val="32"/>
          <w:lang w:val="en-US" w:eastAsia="zh-CN"/>
        </w:rPr>
        <w:t>3</w:t>
      </w:r>
      <w:r>
        <w:rPr>
          <w:rFonts w:hint="eastAsia" w:ascii="仿宋_GB2312" w:hAnsi="仿宋_GB2312" w:eastAsia="仿宋_GB2312" w:cs="仿宋_GB2312"/>
          <w:snapToGrid w:val="0"/>
          <w:spacing w:val="-4"/>
          <w:sz w:val="32"/>
          <w:szCs w:val="32"/>
        </w:rPr>
        <w:t>月</w:t>
      </w:r>
      <w:r>
        <w:rPr>
          <w:rFonts w:hint="eastAsia" w:ascii="仿宋_GB2312" w:hAnsi="仿宋_GB2312" w:eastAsia="仿宋_GB2312" w:cs="仿宋_GB2312"/>
          <w:snapToGrid w:val="0"/>
          <w:spacing w:val="-4"/>
          <w:sz w:val="32"/>
          <w:szCs w:val="32"/>
          <w:lang w:val="en-US" w:eastAsia="zh-CN"/>
        </w:rPr>
        <w:t>4</w:t>
      </w:r>
      <w:r>
        <w:rPr>
          <w:rFonts w:hint="eastAsia" w:ascii="仿宋_GB2312" w:hAnsi="仿宋_GB2312" w:eastAsia="仿宋_GB2312" w:cs="仿宋_GB2312"/>
          <w:snapToGrid w:val="0"/>
          <w:spacing w:val="-4"/>
          <w:sz w:val="32"/>
          <w:szCs w:val="32"/>
        </w:rPr>
        <w:t xml:space="preserve">日        </w:t>
      </w:r>
    </w:p>
    <w:p>
      <w:pPr>
        <w:keepNext w:val="0"/>
        <w:keepLines w:val="0"/>
        <w:pageBreakBefore w:val="0"/>
        <w:widowControl w:val="0"/>
        <w:kinsoku/>
        <w:wordWrap/>
        <w:overflowPunct/>
        <w:topLinePunct w:val="0"/>
        <w:autoSpaceDE/>
        <w:autoSpaceDN/>
        <w:bidi w:val="0"/>
        <w:adjustRightInd/>
        <w:snapToGrid/>
        <w:spacing w:after="0" w:line="420" w:lineRule="exact"/>
        <w:ind w:firstLine="624" w:firstLineChars="200"/>
        <w:textAlignment w:val="auto"/>
        <w:rPr>
          <w:rFonts w:hint="eastAsia" w:ascii="仿宋_GB2312" w:hAnsi="仿宋_GB2312" w:eastAsia="仿宋_GB2312" w:cs="仿宋_GB2312"/>
          <w:snapToGrid w:val="0"/>
          <w:spacing w:val="-4"/>
          <w:sz w:val="32"/>
          <w:szCs w:val="32"/>
        </w:rPr>
      </w:pPr>
      <w:r>
        <w:rPr>
          <w:rFonts w:hint="eastAsia" w:ascii="仿宋_GB2312" w:hAnsi="仿宋_GB2312" w:eastAsia="仿宋_GB2312" w:cs="仿宋_GB2312"/>
          <w:snapToGrid w:val="0"/>
          <w:spacing w:val="-4"/>
          <w:sz w:val="32"/>
          <w:szCs w:val="32"/>
        </w:rPr>
        <w:t>（此件公开发布）</w:t>
      </w:r>
    </w:p>
    <w:p>
      <w:pPr>
        <w:overflowPunct w:val="0"/>
        <w:spacing w:line="600" w:lineRule="exact"/>
        <w:jc w:val="center"/>
        <w:rPr>
          <w:rFonts w:hint="eastAsia" w:ascii="方正小标宋简体" w:hAnsi="文星标宋" w:eastAsia="方正小标宋简体"/>
          <w:sz w:val="44"/>
          <w:szCs w:val="44"/>
          <w:highlight w:val="none"/>
        </w:rPr>
      </w:pPr>
      <w:r>
        <w:rPr>
          <w:rFonts w:hint="eastAsia" w:ascii="方正小标宋简体" w:hAnsi="文星标宋" w:eastAsia="方正小标宋简体"/>
          <w:sz w:val="44"/>
          <w:szCs w:val="44"/>
          <w:highlight w:val="none"/>
        </w:rPr>
        <w:t>济南市济阳区20</w:t>
      </w:r>
      <w:r>
        <w:rPr>
          <w:rFonts w:hint="eastAsia" w:ascii="方正小标宋简体" w:hAnsi="文星标宋" w:eastAsia="方正小标宋简体"/>
          <w:sz w:val="44"/>
          <w:szCs w:val="44"/>
          <w:highlight w:val="none"/>
          <w:lang w:val="en-US" w:eastAsia="zh-CN"/>
        </w:rPr>
        <w:t>24</w:t>
      </w:r>
      <w:r>
        <w:rPr>
          <w:rFonts w:hint="eastAsia" w:ascii="方正小标宋简体" w:hAnsi="文星标宋" w:eastAsia="方正小标宋简体"/>
          <w:sz w:val="44"/>
          <w:szCs w:val="44"/>
          <w:highlight w:val="none"/>
        </w:rPr>
        <w:t>年国民经济</w:t>
      </w:r>
    </w:p>
    <w:p>
      <w:pPr>
        <w:overflowPunct w:val="0"/>
        <w:spacing w:line="600" w:lineRule="exact"/>
        <w:jc w:val="center"/>
        <w:rPr>
          <w:rFonts w:ascii="方正小标宋简体" w:hAnsi="文星标宋" w:eastAsia="方正小标宋简体"/>
          <w:sz w:val="44"/>
          <w:szCs w:val="44"/>
          <w:highlight w:val="none"/>
        </w:rPr>
      </w:pPr>
      <w:r>
        <w:rPr>
          <w:rFonts w:hint="eastAsia" w:ascii="方正小标宋简体" w:hAnsi="文星标宋" w:eastAsia="方正小标宋简体"/>
          <w:sz w:val="44"/>
          <w:szCs w:val="44"/>
          <w:highlight w:val="none"/>
        </w:rPr>
        <w:t>和社会发展计划</w:t>
      </w:r>
    </w:p>
    <w:p>
      <w:pPr>
        <w:keepNext w:val="0"/>
        <w:keepLines w:val="0"/>
        <w:pageBreakBefore w:val="0"/>
        <w:widowControl w:val="0"/>
        <w:kinsoku/>
        <w:wordWrap/>
        <w:overflowPunct w:val="0"/>
        <w:topLinePunct w:val="0"/>
        <w:autoSpaceDE/>
        <w:autoSpaceDN/>
        <w:bidi w:val="0"/>
        <w:spacing w:line="540" w:lineRule="exact"/>
        <w:rPr>
          <w:rFonts w:ascii="仿宋_GB2312" w:hAnsi="宋体" w:eastAsia="仿宋_GB2312"/>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一、2023年国民经济和社会发展计划执行情况</w:t>
      </w:r>
    </w:p>
    <w:p>
      <w:pPr>
        <w:keepNext w:val="0"/>
        <w:keepLines w:val="0"/>
        <w:pageBreakBefore w:val="0"/>
        <w:widowControl w:val="0"/>
        <w:kinsoku/>
        <w:wordWrap/>
        <w:overflowPunct w:val="0"/>
        <w:topLinePunct w:val="0"/>
        <w:autoSpaceDE/>
        <w:autoSpaceDN/>
        <w:bidi w:val="0"/>
        <w:spacing w:line="540" w:lineRule="exact"/>
        <w:ind w:firstLine="640" w:firstLineChars="200"/>
        <w:jc w:val="both"/>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过去一年，在区委、区政府正确领导下，在区人大、区政协监督指导下，全区上下</w:t>
      </w:r>
      <w:r>
        <w:rPr>
          <w:rFonts w:hint="eastAsia" w:ascii="仿宋_GB2312" w:hAnsi="仿宋_GB2312" w:eastAsia="仿宋_GB2312" w:cs="仿宋_GB2312"/>
          <w:i w:val="0"/>
          <w:iCs w:val="0"/>
          <w:caps w:val="0"/>
          <w:color w:val="auto"/>
          <w:spacing w:val="0"/>
          <w:sz w:val="32"/>
          <w:szCs w:val="32"/>
          <w:highlight w:val="none"/>
          <w:shd w:val="clear" w:color="auto" w:fill="FFFFFF"/>
        </w:rPr>
        <w:t>认真贯彻落实</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党的二十大精神</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宋体" w:eastAsia="仿宋_GB2312"/>
          <w:color w:val="auto"/>
          <w:sz w:val="32"/>
          <w:szCs w:val="32"/>
          <w:highlight w:val="none"/>
        </w:rPr>
        <w:t>坚持稳中求进工作总基调，准确、全面贯彻新发展理念，加快构建新发展格局，着力推动高质量发展，经济社会发展总体稳健。</w:t>
      </w:r>
    </w:p>
    <w:p>
      <w:pPr>
        <w:keepNext w:val="0"/>
        <w:keepLines w:val="0"/>
        <w:pageBreakBefore w:val="0"/>
        <w:widowControl w:val="0"/>
        <w:kinsoku/>
        <w:wordWrap/>
        <w:overflowPunct w:val="0"/>
        <w:topLinePunct w:val="0"/>
        <w:autoSpaceDE/>
        <w:autoSpaceDN/>
        <w:bidi w:val="0"/>
        <w:spacing w:line="540" w:lineRule="exact"/>
        <w:ind w:firstLine="640" w:firstLineChars="200"/>
        <w:jc w:val="both"/>
        <w:rPr>
          <w:rFonts w:ascii="仿宋_GB2312" w:hAnsi="仿宋_GB2312" w:eastAsia="仿宋_GB2312" w:cs="仿宋_GB2312"/>
          <w:color w:val="auto"/>
          <w:sz w:val="32"/>
          <w:szCs w:val="32"/>
          <w:highlight w:val="none"/>
          <w:shd w:val="clear" w:color="auto" w:fill="FFFFFF"/>
        </w:rPr>
      </w:pPr>
      <w:r>
        <w:rPr>
          <w:rFonts w:hint="eastAsia" w:ascii="楷体_GB2312" w:hAnsi="楷体_GB2312" w:eastAsia="楷体_GB2312" w:cs="楷体_GB2312"/>
          <w:color w:val="auto"/>
          <w:sz w:val="32"/>
          <w:szCs w:val="32"/>
          <w:highlight w:val="none"/>
          <w:shd w:val="clear" w:color="auto" w:fill="FFFFFF"/>
        </w:rPr>
        <w:t>（一）主要经济指标高质量运行。</w:t>
      </w:r>
      <w:r>
        <w:rPr>
          <w:rFonts w:hint="eastAsia" w:ascii="仿宋_GB2312" w:hAnsi="仿宋_GB2312" w:eastAsia="仿宋_GB2312" w:cs="仿宋_GB2312"/>
          <w:color w:val="auto"/>
          <w:sz w:val="32"/>
          <w:szCs w:val="32"/>
          <w:highlight w:val="none"/>
        </w:rPr>
        <w:t>积极应对国内外复杂发展环境和经济下行压力，持续强化经济运行监测分析，经济发展保障有力。</w:t>
      </w:r>
      <w:r>
        <w:rPr>
          <w:rFonts w:hint="eastAsia" w:ascii="仿宋_GB2312" w:hAnsi="仿宋_GB2312" w:eastAsia="仿宋_GB2312" w:cs="仿宋_GB2312"/>
          <w:color w:val="auto"/>
          <w:sz w:val="32"/>
          <w:szCs w:val="32"/>
          <w:highlight w:val="none"/>
          <w:shd w:val="clear" w:color="auto" w:fill="FFFFFF"/>
        </w:rPr>
        <w:t>全区地区生产总值增长</w:t>
      </w:r>
      <w:r>
        <w:rPr>
          <w:rFonts w:hint="eastAsia" w:ascii="仿宋_GB2312" w:hAnsi="仿宋_GB2312" w:eastAsia="仿宋_GB2312" w:cs="仿宋_GB2312"/>
          <w:color w:val="auto"/>
          <w:sz w:val="32"/>
          <w:szCs w:val="32"/>
          <w:highlight w:val="none"/>
          <w:shd w:val="clear" w:color="auto" w:fill="FFFFFF"/>
          <w:lang w:val="en-US" w:eastAsia="zh-CN"/>
        </w:rPr>
        <w:t>7.2</w:t>
      </w:r>
      <w:r>
        <w:rPr>
          <w:rFonts w:hint="eastAsia" w:ascii="仿宋_GB2312" w:hAnsi="仿宋_GB2312" w:eastAsia="仿宋_GB2312" w:cs="仿宋_GB2312"/>
          <w:color w:val="auto"/>
          <w:sz w:val="32"/>
          <w:szCs w:val="32"/>
          <w:highlight w:val="none"/>
          <w:shd w:val="clear" w:color="auto" w:fill="FFFFFF"/>
        </w:rPr>
        <w:t>%；一般公共预算收入</w:t>
      </w:r>
      <w:r>
        <w:rPr>
          <w:rFonts w:hint="eastAsia" w:ascii="仿宋_GB2312" w:hAnsi="仿宋_GB2312" w:eastAsia="仿宋_GB2312" w:cs="仿宋_GB2312"/>
          <w:color w:val="auto"/>
          <w:sz w:val="32"/>
          <w:szCs w:val="32"/>
          <w:highlight w:val="none"/>
          <w:shd w:val="clear" w:color="auto" w:fill="FFFFFF"/>
          <w:lang w:val="en-US" w:eastAsia="zh-CN"/>
        </w:rPr>
        <w:t>30.1</w:t>
      </w:r>
      <w:r>
        <w:rPr>
          <w:rFonts w:hint="eastAsia" w:ascii="仿宋_GB2312" w:hAnsi="仿宋_GB2312" w:eastAsia="仿宋_GB2312" w:cs="仿宋_GB2312"/>
          <w:color w:val="auto"/>
          <w:sz w:val="32"/>
          <w:szCs w:val="32"/>
          <w:highlight w:val="none"/>
          <w:shd w:val="clear" w:color="auto" w:fill="FFFFFF"/>
        </w:rPr>
        <w:t>亿元，</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增长27.3%；</w:t>
      </w:r>
      <w:r>
        <w:rPr>
          <w:rFonts w:hint="eastAsia" w:ascii="仿宋_GB2312" w:hAnsi="仿宋_GB2312" w:eastAsia="仿宋_GB2312" w:cs="仿宋_GB2312"/>
          <w:color w:val="auto"/>
          <w:sz w:val="32"/>
          <w:szCs w:val="32"/>
          <w:highlight w:val="none"/>
          <w:shd w:val="clear" w:color="auto" w:fill="FFFFFF"/>
          <w:lang w:val="en-US" w:eastAsia="zh-CN"/>
        </w:rPr>
        <w:t>固定资产投资增长22.3%</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进出口总额完成53.5亿元，增长15%；</w:t>
      </w:r>
      <w:r>
        <w:rPr>
          <w:rFonts w:hint="eastAsia" w:ascii="仿宋_GB2312" w:hAnsi="仿宋_GB2312" w:eastAsia="仿宋_GB2312" w:cs="仿宋_GB2312"/>
          <w:color w:val="auto"/>
          <w:sz w:val="32"/>
          <w:szCs w:val="32"/>
          <w:highlight w:val="none"/>
          <w:shd w:val="clear" w:color="auto" w:fill="FFFFFF"/>
        </w:rPr>
        <w:t>城乡居民人均可支配收入增长</w:t>
      </w:r>
      <w:r>
        <w:rPr>
          <w:rFonts w:hint="eastAsia" w:ascii="仿宋_GB2312" w:hAnsi="仿宋_GB2312" w:eastAsia="仿宋_GB2312" w:cs="仿宋_GB2312"/>
          <w:color w:val="auto"/>
          <w:sz w:val="32"/>
          <w:szCs w:val="32"/>
          <w:highlight w:val="none"/>
          <w:shd w:val="clear" w:color="auto" w:fill="FFFFFF"/>
          <w:lang w:val="en-US" w:eastAsia="zh-CN"/>
        </w:rPr>
        <w:t>6.6</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widowControl w:val="0"/>
        <w:kinsoku/>
        <w:wordWrap/>
        <w:overflowPunct w:val="0"/>
        <w:topLinePunct w:val="0"/>
        <w:autoSpaceDE/>
        <w:autoSpaceDN/>
        <w:bidi w:val="0"/>
        <w:adjustRightInd/>
        <w:snapToGrid/>
        <w:spacing w:before="0" w:beforeAutospacing="0" w:afterAutospacing="0" w:line="540" w:lineRule="exact"/>
        <w:ind w:firstLine="640" w:firstLineChars="200"/>
        <w:jc w:val="both"/>
        <w:textAlignment w:val="baseline"/>
        <w:rPr>
          <w:rFonts w:hint="eastAsia" w:ascii="仿宋_GB2312" w:hAnsi="仿宋_GB2312" w:eastAsia="仿宋_GB2312" w:cs="仿宋_GB2312"/>
          <w:color w:val="auto"/>
          <w:highlight w:val="none"/>
          <w:lang w:val="en-US" w:eastAsia="zh-CN"/>
        </w:rPr>
      </w:pPr>
      <w:r>
        <w:rPr>
          <w:rFonts w:hint="eastAsia" w:ascii="楷体_GB2312" w:hAnsi="楷体_GB2312" w:eastAsia="楷体_GB2312" w:cs="楷体_GB2312"/>
          <w:color w:val="auto"/>
          <w:sz w:val="32"/>
          <w:szCs w:val="32"/>
          <w:highlight w:val="none"/>
          <w:shd w:val="clear" w:color="auto" w:fill="FFFFFF"/>
        </w:rPr>
        <w:t>（二）产业能级持续提升。</w:t>
      </w:r>
      <w:r>
        <w:rPr>
          <w:rFonts w:hint="eastAsia" w:ascii="仿宋_GB2312" w:hAnsi="仿宋_GB2312" w:eastAsia="仿宋_GB2312" w:cs="仿宋_GB2312"/>
          <w:b/>
          <w:bCs/>
          <w:color w:val="auto"/>
          <w:sz w:val="32"/>
          <w:szCs w:val="32"/>
          <w:highlight w:val="none"/>
          <w:shd w:val="clear" w:color="auto" w:fill="FFFFFF"/>
        </w:rPr>
        <w:t>工业经济稳中有进。</w:t>
      </w:r>
      <w:r>
        <w:rPr>
          <w:rFonts w:hint="eastAsia" w:ascii="仿宋_GB2312" w:hAnsi="仿宋_GB2312" w:eastAsia="仿宋_GB2312" w:cs="仿宋_GB2312"/>
          <w:color w:val="auto"/>
          <w:sz w:val="32"/>
          <w:szCs w:val="32"/>
          <w:highlight w:val="none"/>
          <w:shd w:val="clear" w:color="auto" w:fill="FFFFFF"/>
        </w:rPr>
        <w:t>全区规模以上工业增加值增长12%</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规模以上工业</w:t>
      </w:r>
      <w:r>
        <w:rPr>
          <w:rFonts w:hint="eastAsia" w:ascii="仿宋_GB2312" w:hAnsi="仿宋_GB2312" w:eastAsia="仿宋_GB2312" w:cs="仿宋_GB2312"/>
          <w:color w:val="auto"/>
          <w:sz w:val="32"/>
          <w:szCs w:val="32"/>
          <w:highlight w:val="none"/>
          <w:shd w:val="clear" w:color="auto" w:fill="FFFFFF"/>
          <w:lang w:val="en-US" w:eastAsia="zh-CN"/>
        </w:rPr>
        <w:t>产值增长13.3%</w:t>
      </w:r>
      <w:r>
        <w:rPr>
          <w:rFonts w:hint="eastAsia" w:ascii="仿宋_GB2312" w:hAnsi="仿宋_GB2312" w:eastAsia="仿宋_GB2312" w:cs="仿宋_GB2312"/>
          <w:color w:val="auto"/>
          <w:sz w:val="32"/>
          <w:szCs w:val="32"/>
          <w:highlight w:val="none"/>
          <w:shd w:val="clear" w:color="auto" w:fill="FFFFFF"/>
        </w:rPr>
        <w:t>，年度新增规模以上工业企业20家</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工业投资</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工业技改投资</w:t>
      </w:r>
      <w:r>
        <w:rPr>
          <w:rFonts w:hint="eastAsia" w:ascii="仿宋_GB2312" w:hAnsi="仿宋_GB2312" w:eastAsia="仿宋_GB2312" w:cs="仿宋_GB2312"/>
          <w:color w:val="auto"/>
          <w:sz w:val="32"/>
          <w:szCs w:val="32"/>
          <w:highlight w:val="none"/>
          <w:shd w:val="clear" w:color="auto" w:fill="FFFFFF"/>
          <w:lang w:val="en-US" w:eastAsia="zh-CN"/>
        </w:rPr>
        <w:t>分别</w:t>
      </w:r>
      <w:r>
        <w:rPr>
          <w:rFonts w:hint="eastAsia" w:ascii="仿宋_GB2312" w:hAnsi="仿宋_GB2312" w:eastAsia="仿宋_GB2312" w:cs="仿宋_GB2312"/>
          <w:color w:val="auto"/>
          <w:sz w:val="32"/>
          <w:szCs w:val="32"/>
          <w:highlight w:val="none"/>
          <w:shd w:val="clear" w:color="auto" w:fill="FFFFFF"/>
        </w:rPr>
        <w:t>增长</w:t>
      </w:r>
      <w:r>
        <w:rPr>
          <w:rFonts w:hint="eastAsia" w:ascii="仿宋_GB2312" w:hAnsi="仿宋_GB2312" w:eastAsia="仿宋_GB2312" w:cs="仿宋_GB2312"/>
          <w:color w:val="auto"/>
          <w:sz w:val="32"/>
          <w:szCs w:val="32"/>
          <w:highlight w:val="none"/>
          <w:shd w:val="clear" w:color="auto" w:fill="FFFFFF"/>
          <w:lang w:val="en-US" w:eastAsia="zh-CN"/>
        </w:rPr>
        <w:t>23.3%、42.1%</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汉方制药、科迈隆等79个技改项目稳步推进</w:t>
      </w:r>
      <w:r>
        <w:rPr>
          <w:rFonts w:hint="eastAsia" w:ascii="仿宋_GB2312" w:hAnsi="仿宋_GB2312" w:eastAsia="仿宋_GB2312" w:cs="仿宋_GB2312"/>
          <w:color w:val="auto"/>
          <w:sz w:val="32"/>
          <w:szCs w:val="32"/>
          <w:highlight w:val="none"/>
          <w:shd w:val="clear" w:color="auto" w:fill="FFFFFF"/>
        </w:rPr>
        <w:t>。新增省级“专精特新”中小企业21家、省级瞪羚企业3家，高质量企业数量进一步</w:t>
      </w:r>
      <w:r>
        <w:rPr>
          <w:rFonts w:hint="eastAsia" w:ascii="仿宋_GB2312" w:hAnsi="仿宋_GB2312" w:eastAsia="仿宋_GB2312" w:cs="仿宋_GB2312"/>
          <w:color w:val="auto"/>
          <w:sz w:val="32"/>
          <w:szCs w:val="32"/>
          <w:highlight w:val="none"/>
          <w:shd w:val="clear" w:color="auto" w:fill="FFFFFF"/>
          <w:lang w:val="en-US" w:eastAsia="zh-CN"/>
        </w:rPr>
        <w:t>增加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持续打造特殊食品产业发展体系，我区被授予</w:t>
      </w:r>
      <w:r>
        <w:rPr>
          <w:rFonts w:hint="eastAsia" w:ascii="仿宋_GB2312" w:hAnsi="仿宋_GB2312" w:eastAsia="仿宋_GB2312" w:cs="仿宋_GB2312"/>
          <w:color w:val="auto"/>
          <w:sz w:val="32"/>
          <w:szCs w:val="32"/>
          <w:highlight w:val="none"/>
        </w:rPr>
        <w:t>“中国特殊食品产业集群示范基地”称号。</w:t>
      </w:r>
      <w:r>
        <w:rPr>
          <w:rFonts w:hint="eastAsia" w:ascii="仿宋_GB2312" w:hAnsi="仿宋_GB2312" w:eastAsia="仿宋_GB2312" w:cs="仿宋_GB2312"/>
          <w:b/>
          <w:bCs/>
          <w:color w:val="auto"/>
          <w:sz w:val="32"/>
          <w:szCs w:val="32"/>
          <w:highlight w:val="none"/>
          <w:shd w:val="clear" w:color="auto" w:fill="FFFFFF"/>
        </w:rPr>
        <w:t>现代农业稳产增收。</w:t>
      </w:r>
      <w:r>
        <w:rPr>
          <w:rFonts w:hint="eastAsia" w:ascii="仿宋_GB2312" w:hAnsi="仿宋_GB2312" w:eastAsia="仿宋_GB2312" w:cs="仿宋_GB2312"/>
          <w:b w:val="0"/>
          <w:bCs w:val="0"/>
          <w:color w:val="auto"/>
          <w:sz w:val="32"/>
          <w:szCs w:val="32"/>
          <w:highlight w:val="none"/>
          <w:shd w:val="clear" w:color="auto" w:fill="FFFFFF"/>
        </w:rPr>
        <w:t>实</w:t>
      </w:r>
      <w:r>
        <w:rPr>
          <w:rFonts w:hint="eastAsia" w:ascii="仿宋_GB2312" w:hAnsi="仿宋_GB2312" w:eastAsia="仿宋_GB2312" w:cs="仿宋_GB2312"/>
          <w:color w:val="auto"/>
          <w:sz w:val="32"/>
          <w:szCs w:val="32"/>
          <w:highlight w:val="none"/>
          <w:shd w:val="clear" w:color="auto" w:fill="FFFFFF"/>
        </w:rPr>
        <w:t>现农业增加值增长</w:t>
      </w:r>
      <w:r>
        <w:rPr>
          <w:rFonts w:hint="eastAsia" w:ascii="仿宋_GB2312" w:hAnsi="仿宋_GB2312" w:eastAsia="仿宋_GB2312" w:cs="仿宋_GB2312"/>
          <w:color w:val="auto"/>
          <w:sz w:val="32"/>
          <w:szCs w:val="32"/>
          <w:highlight w:val="none"/>
          <w:shd w:val="clear" w:color="auto" w:fill="FFFFFF"/>
          <w:lang w:val="en-US" w:eastAsia="zh-CN"/>
        </w:rPr>
        <w:t>5.2</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rPr>
        <w:t>粮食产量稳中有升，总产</w:t>
      </w:r>
      <w:r>
        <w:rPr>
          <w:rFonts w:hint="eastAsia" w:ascii="仿宋_GB2312" w:hAnsi="仿宋_GB2312" w:eastAsia="仿宋_GB2312" w:cs="仿宋_GB2312"/>
          <w:color w:val="auto"/>
          <w:sz w:val="32"/>
          <w:szCs w:val="32"/>
          <w:highlight w:val="none"/>
          <w:lang w:val="en-US" w:eastAsia="zh-CN"/>
        </w:rPr>
        <w:t>63.3</w:t>
      </w:r>
      <w:r>
        <w:rPr>
          <w:rFonts w:hint="eastAsia" w:ascii="仿宋_GB2312" w:hAnsi="仿宋_GB2312" w:eastAsia="仿宋_GB2312" w:cs="仿宋_GB2312"/>
          <w:color w:val="auto"/>
          <w:sz w:val="32"/>
          <w:szCs w:val="32"/>
          <w:highlight w:val="none"/>
        </w:rPr>
        <w:t>万吨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实现“二十连丰”。全力抓好稳产增收，完成农村水利设施提升改造等水利项目，新增高标准农田</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rPr>
        <w:t>万亩、高效节水灌溉</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万余亩。</w:t>
      </w:r>
      <w:r>
        <w:rPr>
          <w:rFonts w:hint="eastAsia" w:ascii="仿宋_GB2312" w:hAnsi="仿宋_GB2312" w:eastAsia="仿宋_GB2312" w:cs="仿宋_GB2312"/>
          <w:color w:val="auto"/>
          <w:sz w:val="32"/>
          <w:szCs w:val="32"/>
          <w:highlight w:val="none"/>
          <w:shd w:val="clear" w:color="auto" w:fill="FFFFFF"/>
        </w:rPr>
        <w:t>积极培育新型经营主体，新增市级以上家庭农场4家、</w:t>
      </w:r>
      <w:r>
        <w:rPr>
          <w:rFonts w:hint="eastAsia" w:ascii="仿宋_GB2312" w:hAnsi="仿宋_GB2312" w:eastAsia="仿宋_GB2312" w:cs="仿宋_GB2312"/>
          <w:color w:val="auto"/>
          <w:sz w:val="32"/>
          <w:szCs w:val="32"/>
          <w:highlight w:val="none"/>
        </w:rPr>
        <w:t>农业龙头企业2家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持续壮大乡村产业，回河、曲堤获评山东省乡村振兴示范街道，省级衔接乡村振兴集中推进区建设典型经验在全省推广</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仁风富硒蔬菜数字产业园获评“国家功能农业科技创新联盟功能农业示范基地”，“西之皇”西瓜获评“国家生态原产地保护产品”。</w:t>
      </w:r>
      <w:r>
        <w:rPr>
          <w:rFonts w:hint="eastAsia" w:ascii="仿宋_GB2312" w:hAnsi="仿宋_GB2312" w:eastAsia="仿宋_GB2312" w:cs="仿宋_GB2312"/>
          <w:b w:val="0"/>
          <w:bCs w:val="0"/>
          <w:color w:val="auto"/>
          <w:sz w:val="32"/>
          <w:szCs w:val="32"/>
          <w:highlight w:val="none"/>
        </w:rPr>
        <w:t>曲堤获批全国种植业“三品一标”基地。</w:t>
      </w:r>
      <w:r>
        <w:rPr>
          <w:rFonts w:hint="eastAsia" w:ascii="仿宋_GB2312" w:hAnsi="仿宋_GB2312" w:eastAsia="仿宋_GB2312" w:cs="仿宋_GB2312"/>
          <w:b/>
          <w:bCs/>
          <w:color w:val="auto"/>
          <w:sz w:val="32"/>
          <w:szCs w:val="32"/>
          <w:highlight w:val="none"/>
          <w:shd w:val="clear" w:color="auto" w:fill="FFFFFF"/>
        </w:rPr>
        <w:t>现代服务业稳步向好。</w:t>
      </w:r>
      <w:r>
        <w:rPr>
          <w:rFonts w:hint="eastAsia" w:ascii="仿宋_GB2312" w:hAnsi="仿宋_GB2312" w:eastAsia="仿宋_GB2312" w:cs="仿宋_GB2312"/>
          <w:color w:val="auto"/>
          <w:sz w:val="32"/>
          <w:szCs w:val="32"/>
          <w:highlight w:val="none"/>
        </w:rPr>
        <w:t>商圈</w:t>
      </w:r>
      <w:r>
        <w:rPr>
          <w:rFonts w:hint="eastAsia" w:ascii="仿宋_GB2312" w:hAnsi="仿宋_GB2312" w:eastAsia="仿宋_GB2312" w:cs="仿宋_GB2312"/>
          <w:color w:val="auto"/>
          <w:sz w:val="32"/>
          <w:szCs w:val="32"/>
          <w:highlight w:val="none"/>
          <w:lang w:val="en-US" w:eastAsia="zh-CN"/>
        </w:rPr>
        <w:t>经济释放活力</w:t>
      </w:r>
      <w:r>
        <w:rPr>
          <w:rFonts w:hint="eastAsia" w:ascii="仿宋_GB2312" w:hAnsi="仿宋_GB2312" w:eastAsia="仿宋_GB2312" w:cs="仿宋_GB2312"/>
          <w:color w:val="auto"/>
          <w:sz w:val="32"/>
          <w:szCs w:val="32"/>
          <w:highlight w:val="none"/>
        </w:rPr>
        <w:t>，大丰综合体、众海新天地商业中心开业运营，</w:t>
      </w:r>
      <w:r>
        <w:rPr>
          <w:rFonts w:hint="eastAsia" w:ascii="仿宋_GB2312" w:hAnsi="仿宋_GB2312" w:eastAsia="仿宋_GB2312" w:cs="仿宋_GB2312"/>
          <w:b w:val="0"/>
          <w:bCs/>
          <w:i w:val="0"/>
          <w:caps w:val="0"/>
          <w:color w:val="auto"/>
          <w:spacing w:val="0"/>
          <w:w w:val="100"/>
          <w:kern w:val="0"/>
          <w:sz w:val="32"/>
          <w:szCs w:val="32"/>
          <w:highlight w:val="none"/>
          <w:lang w:val="en-US" w:eastAsia="zh-CN" w:bidi="ar-SA"/>
        </w:rPr>
        <w:t>建设</w:t>
      </w:r>
      <w:r>
        <w:rPr>
          <w:rFonts w:hint="eastAsia" w:ascii="仿宋_GB2312" w:hAnsi="仿宋_GB2312" w:eastAsia="仿宋_GB2312" w:cs="仿宋_GB2312"/>
          <w:color w:val="auto"/>
          <w:sz w:val="32"/>
          <w:szCs w:val="32"/>
          <w:highlight w:val="none"/>
          <w:lang w:val="en-US" w:eastAsia="zh-CN"/>
        </w:rPr>
        <w:t>市级一刻钟便民生活圈2处，</w:t>
      </w:r>
      <w:r>
        <w:rPr>
          <w:rFonts w:hint="eastAsia" w:ascii="仿宋_GB2312" w:hAnsi="仿宋_GB2312" w:eastAsia="仿宋_GB2312" w:cs="仿宋_GB2312"/>
          <w:b w:val="0"/>
          <w:bCs/>
          <w:i w:val="0"/>
          <w:caps w:val="0"/>
          <w:color w:val="auto"/>
          <w:spacing w:val="0"/>
          <w:w w:val="100"/>
          <w:kern w:val="0"/>
          <w:sz w:val="32"/>
          <w:szCs w:val="32"/>
          <w:highlight w:val="none"/>
          <w:lang w:val="en-US" w:eastAsia="zh-CN" w:bidi="ar-SA"/>
        </w:rPr>
        <w:t>引入品牌首店4家。房地产业发展趋稳，房地产开发投资增长17.3%。</w:t>
      </w:r>
      <w:r>
        <w:rPr>
          <w:rFonts w:hint="eastAsia" w:ascii="仿宋_GB2312" w:hAnsi="仿宋_GB2312" w:eastAsia="仿宋_GB2312" w:cs="仿宋_GB2312"/>
          <w:color w:val="auto"/>
          <w:sz w:val="32"/>
          <w:szCs w:val="32"/>
          <w:highlight w:val="none"/>
        </w:rPr>
        <w:t>金融服务</w:t>
      </w:r>
      <w:r>
        <w:rPr>
          <w:rFonts w:hint="eastAsia" w:ascii="仿宋_GB2312" w:hAnsi="仿宋_GB2312" w:eastAsia="仿宋_GB2312" w:cs="仿宋_GB2312"/>
          <w:color w:val="auto"/>
          <w:sz w:val="32"/>
          <w:szCs w:val="32"/>
          <w:highlight w:val="none"/>
          <w:lang w:val="en-US" w:eastAsia="zh-CN"/>
        </w:rPr>
        <w:t>整体优化</w:t>
      </w:r>
      <w:r>
        <w:rPr>
          <w:rFonts w:hint="eastAsia" w:ascii="仿宋_GB2312" w:hAnsi="仿宋_GB2312" w:eastAsia="仿宋_GB2312" w:cs="仿宋_GB2312"/>
          <w:color w:val="auto"/>
          <w:sz w:val="32"/>
          <w:szCs w:val="32"/>
          <w:highlight w:val="none"/>
        </w:rPr>
        <w:t>，目前纳入山东省级上市后备企业资源库19家，金融业增加值增长</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左右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永川科技、保时通等重点企业运行势头较好，前期培育的14家重点服务业企业顺利入库</w:t>
      </w:r>
      <w:r>
        <w:rPr>
          <w:rFonts w:hint="eastAsia" w:ascii="仿宋_GB2312" w:hAnsi="仿宋_GB2312" w:eastAsia="仿宋_GB2312" w:cs="仿宋_GB2312"/>
          <w:color w:val="auto"/>
          <w:sz w:val="32"/>
          <w:szCs w:val="32"/>
          <w:highlight w:val="none"/>
        </w:rPr>
        <w:t>。文旅融合</w:t>
      </w:r>
      <w:r>
        <w:rPr>
          <w:rFonts w:hint="eastAsia" w:ascii="仿宋_GB2312" w:hAnsi="仿宋_GB2312" w:eastAsia="仿宋_GB2312" w:cs="仿宋_GB2312"/>
          <w:color w:val="auto"/>
          <w:sz w:val="32"/>
          <w:szCs w:val="32"/>
          <w:highlight w:val="none"/>
          <w:lang w:val="en-US" w:eastAsia="zh-CN"/>
        </w:rPr>
        <w:t>共同</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举办“济阳</w:t>
      </w:r>
      <w:r>
        <w:rPr>
          <w:rFonts w:hint="eastAsia" w:ascii="宋体" w:hAnsi="宋体" w:eastAsia="宋体" w:cs="宋体"/>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黄河”文旅资源推介会，启动全省“黄河大集-沿黄自驾欢乐GO”活动；举办首届啤酒音乐节等系列节庆展会活动，推出十大精品研学路线，带动消费8千余万元。“品味四季，乐享济阳”成为济南市民近郊休闲旅游新选择。</w:t>
      </w:r>
      <w:r>
        <w:rPr>
          <w:rFonts w:hint="eastAsia" w:ascii="仿宋_GB2312" w:hAnsi="仿宋_GB2312" w:eastAsia="仿宋_GB2312" w:cs="仿宋_GB2312"/>
          <w:color w:val="auto"/>
          <w:sz w:val="32"/>
          <w:szCs w:val="32"/>
          <w:highlight w:val="none"/>
        </w:rPr>
        <w:t>电商经济</w:t>
      </w:r>
      <w:r>
        <w:rPr>
          <w:rFonts w:hint="eastAsia" w:ascii="仿宋_GB2312" w:hAnsi="仿宋_GB2312" w:eastAsia="仿宋_GB2312" w:cs="仿宋_GB2312"/>
          <w:color w:val="auto"/>
          <w:sz w:val="32"/>
          <w:szCs w:val="32"/>
          <w:highlight w:val="none"/>
          <w:lang w:val="en-US" w:eastAsia="zh-CN"/>
        </w:rPr>
        <w:t>激发动能</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i w:val="0"/>
          <w:caps w:val="0"/>
          <w:color w:val="auto"/>
          <w:spacing w:val="0"/>
          <w:w w:val="100"/>
          <w:kern w:val="0"/>
          <w:sz w:val="32"/>
          <w:szCs w:val="32"/>
          <w:highlight w:val="none"/>
          <w:lang w:eastAsia="zh-CN"/>
        </w:rPr>
        <w:t>新注册跨境电商企业</w:t>
      </w:r>
      <w:r>
        <w:rPr>
          <w:rFonts w:hint="eastAsia" w:ascii="仿宋_GB2312" w:hAnsi="仿宋_GB2312" w:eastAsia="仿宋_GB2312" w:cs="仿宋_GB2312"/>
          <w:b w:val="0"/>
          <w:bCs/>
          <w:i w:val="0"/>
          <w:caps w:val="0"/>
          <w:color w:val="auto"/>
          <w:spacing w:val="0"/>
          <w:w w:val="100"/>
          <w:kern w:val="0"/>
          <w:sz w:val="32"/>
          <w:szCs w:val="32"/>
          <w:highlight w:val="none"/>
          <w:lang w:val="en-US" w:eastAsia="zh-CN"/>
        </w:rPr>
        <w:t>17家，</w:t>
      </w:r>
      <w:r>
        <w:rPr>
          <w:rFonts w:hint="eastAsia" w:ascii="仿宋_GB2312" w:hAnsi="仿宋_GB2312" w:eastAsia="仿宋_GB2312" w:cs="仿宋_GB2312"/>
          <w:b w:val="0"/>
          <w:bCs/>
          <w:i w:val="0"/>
          <w:caps w:val="0"/>
          <w:color w:val="auto"/>
          <w:spacing w:val="0"/>
          <w:w w:val="100"/>
          <w:kern w:val="0"/>
          <w:sz w:val="32"/>
          <w:szCs w:val="32"/>
          <w:highlight w:val="none"/>
          <w:lang w:eastAsia="zh-CN"/>
        </w:rPr>
        <w:t>完成跨境电商进出口总额</w:t>
      </w:r>
      <w:r>
        <w:rPr>
          <w:rFonts w:hint="eastAsia" w:ascii="仿宋_GB2312" w:hAnsi="仿宋_GB2312" w:eastAsia="仿宋_GB2312" w:cs="仿宋_GB2312"/>
          <w:b w:val="0"/>
          <w:bCs/>
          <w:i w:val="0"/>
          <w:caps w:val="0"/>
          <w:color w:val="auto"/>
          <w:spacing w:val="0"/>
          <w:w w:val="100"/>
          <w:kern w:val="0"/>
          <w:sz w:val="32"/>
          <w:szCs w:val="32"/>
          <w:highlight w:val="none"/>
          <w:lang w:val="en-US" w:eastAsia="zh-CN"/>
        </w:rPr>
        <w:t>1.2亿元。</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hint="eastAsia" w:ascii="仿宋_GB2312" w:hAnsi="仿宋_GB2312" w:eastAsia="仿宋_GB2312" w:cs="仿宋_GB2312"/>
          <w:color w:val="auto"/>
          <w:sz w:val="32"/>
          <w:szCs w:val="32"/>
          <w:highlight w:val="none"/>
          <w:shd w:val="clear" w:color="auto" w:fill="FFFFFF"/>
        </w:rPr>
      </w:pPr>
      <w:r>
        <w:rPr>
          <w:rFonts w:hint="eastAsia" w:ascii="楷体_GB2312" w:hAnsi="楷体_GB2312" w:eastAsia="楷体_GB2312" w:cs="楷体_GB2312"/>
          <w:color w:val="auto"/>
          <w:sz w:val="32"/>
          <w:szCs w:val="32"/>
          <w:highlight w:val="none"/>
          <w:shd w:val="clear" w:color="auto" w:fill="FFFFFF"/>
        </w:rPr>
        <w:t>（三）</w:t>
      </w:r>
      <w:r>
        <w:rPr>
          <w:rFonts w:hint="eastAsia" w:ascii="楷体_GB2312" w:hAnsi="楷体_GB2312" w:eastAsia="楷体_GB2312" w:cs="楷体_GB2312"/>
          <w:color w:val="auto"/>
          <w:sz w:val="32"/>
          <w:szCs w:val="32"/>
          <w:highlight w:val="none"/>
          <w:shd w:val="clear" w:color="auto" w:fill="FFFFFF"/>
          <w:lang w:val="en-US" w:eastAsia="zh-CN"/>
        </w:rPr>
        <w:t>发展动能加速积蓄</w:t>
      </w:r>
      <w:r>
        <w:rPr>
          <w:rFonts w:hint="eastAsia" w:ascii="楷体_GB2312" w:hAnsi="楷体_GB2312" w:eastAsia="楷体_GB2312" w:cs="楷体_GB2312"/>
          <w:color w:val="auto"/>
          <w:sz w:val="32"/>
          <w:szCs w:val="32"/>
          <w:highlight w:val="none"/>
          <w:shd w:val="clear" w:color="auto" w:fill="FFFFFF"/>
        </w:rPr>
        <w:t>。</w:t>
      </w:r>
      <w:r>
        <w:rPr>
          <w:rFonts w:hint="eastAsia" w:ascii="仿宋_GB2312" w:hAnsi="仿宋_GB2312" w:eastAsia="仿宋_GB2312" w:cs="仿宋_GB2312"/>
          <w:b/>
          <w:bCs/>
          <w:color w:val="auto"/>
          <w:sz w:val="32"/>
          <w:szCs w:val="32"/>
          <w:highlight w:val="none"/>
          <w:shd w:val="clear" w:color="auto" w:fill="FFFFFF"/>
        </w:rPr>
        <w:t>双招双引</w:t>
      </w:r>
      <w:r>
        <w:rPr>
          <w:rFonts w:hint="eastAsia" w:ascii="仿宋_GB2312" w:hAnsi="仿宋_GB2312" w:eastAsia="仿宋_GB2312" w:cs="仿宋_GB2312"/>
          <w:b/>
          <w:bCs/>
          <w:color w:val="auto"/>
          <w:sz w:val="32"/>
          <w:szCs w:val="32"/>
          <w:highlight w:val="none"/>
          <w:shd w:val="clear" w:color="auto" w:fill="FFFFFF"/>
          <w:lang w:val="en-US" w:eastAsia="zh-CN"/>
        </w:rPr>
        <w:t>稳步实施</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b w:val="0"/>
          <w:bCs w:val="0"/>
          <w:color w:val="auto"/>
          <w:sz w:val="32"/>
          <w:szCs w:val="32"/>
          <w:highlight w:val="none"/>
          <w:shd w:val="clear" w:color="auto" w:fill="FFFFFF"/>
          <w:lang w:val="en-US" w:eastAsia="zh-CN"/>
        </w:rPr>
        <w:t>加速融入起步区发展，</w:t>
      </w:r>
      <w:r>
        <w:rPr>
          <w:rFonts w:hint="eastAsia" w:ascii="仿宋_GB2312" w:hAnsi="仿宋_GB2312" w:eastAsia="仿宋_GB2312" w:cs="仿宋_GB2312"/>
          <w:b w:val="0"/>
          <w:bCs w:val="0"/>
          <w:color w:val="auto"/>
          <w:spacing w:val="0"/>
          <w:kern w:val="0"/>
          <w:sz w:val="32"/>
          <w:szCs w:val="32"/>
          <w:u w:val="none"/>
          <w:lang w:val="en-US" w:eastAsia="zh-CN"/>
        </w:rPr>
        <w:t>精准招引延锋、</w:t>
      </w:r>
      <w:r>
        <w:rPr>
          <w:rFonts w:hint="eastAsia" w:ascii="仿宋_GB2312" w:hAnsi="仿宋_GB2312" w:eastAsia="仿宋_GB2312" w:cs="仿宋_GB2312"/>
          <w:bCs/>
          <w:color w:val="auto"/>
          <w:spacing w:val="0"/>
          <w:kern w:val="0"/>
          <w:sz w:val="32"/>
          <w:szCs w:val="32"/>
          <w:u w:val="none"/>
          <w:lang w:val="en-US" w:eastAsia="zh-CN"/>
        </w:rPr>
        <w:t>延鑫等</w:t>
      </w:r>
      <w:r>
        <w:rPr>
          <w:rFonts w:hint="eastAsia" w:ascii="仿宋_GB2312" w:hAnsi="仿宋_GB2312" w:eastAsia="仿宋_GB2312" w:cs="仿宋_GB2312"/>
          <w:bCs/>
          <w:color w:val="auto"/>
          <w:spacing w:val="0"/>
          <w:kern w:val="0"/>
          <w:sz w:val="32"/>
          <w:szCs w:val="32"/>
          <w:highlight w:val="none"/>
          <w:u w:val="none"/>
          <w:lang w:val="en-US" w:eastAsia="zh-CN"/>
        </w:rPr>
        <w:t>12</w:t>
      </w:r>
      <w:r>
        <w:rPr>
          <w:rFonts w:hint="eastAsia" w:ascii="仿宋_GB2312" w:hAnsi="仿宋_GB2312" w:eastAsia="仿宋_GB2312" w:cs="仿宋_GB2312"/>
          <w:bCs/>
          <w:color w:val="auto"/>
          <w:spacing w:val="0"/>
          <w:kern w:val="0"/>
          <w:sz w:val="32"/>
          <w:szCs w:val="32"/>
          <w:u w:val="none"/>
          <w:lang w:val="en-US" w:eastAsia="zh-CN"/>
        </w:rPr>
        <w:t>个新能源汽车零部件项目。</w:t>
      </w:r>
      <w:r>
        <w:rPr>
          <w:rFonts w:hint="eastAsia" w:ascii="仿宋_GB2312" w:hAnsi="仿宋_GB2312" w:eastAsia="仿宋_GB2312" w:cs="仿宋_GB2312"/>
          <w:b w:val="0"/>
          <w:bCs w:val="0"/>
          <w:color w:val="auto"/>
          <w:sz w:val="32"/>
          <w:szCs w:val="32"/>
          <w:highlight w:val="none"/>
          <w:shd w:val="clear" w:color="auto" w:fill="FFFFFF"/>
          <w:lang w:val="en-US" w:eastAsia="zh-CN"/>
        </w:rPr>
        <w:t>拓新招商模式，引入山东艺术设计职业学院项目，填补高等院校领域空白。发挥海峡两岸产业合作区基础优势，新引进中国特殊食品城、台湾生技产业园、铭达机械、年产8000吨特种纤维素等台资项目20个，签约关联项目68个。发挥中国（济南）特殊食品城产业集群效应，吸引更多生物医药、特殊食品上下游企业入驻。健全完善工作统筹机制，全年共签约项目86个，签约额348.7亿元，其中过10亿项目11个，过亿元项目47个。编制完成“人才强区”发展规划和“闻韶人才计划20条”，举办“强国青年科学家”走进济阳、济南市创新创业大赛广州赛区预赛等系列活动，成功引进陈飞勇院士团队</w:t>
      </w:r>
      <w:r>
        <w:rPr>
          <w:rFonts w:hint="eastAsia" w:ascii="仿宋_GB2312" w:hAnsi="仿宋_GB2312" w:eastAsia="仿宋_GB2312" w:cs="仿宋_GB2312"/>
          <w:bCs/>
          <w:color w:val="auto"/>
          <w:spacing w:val="0"/>
          <w:kern w:val="0"/>
          <w:sz w:val="32"/>
          <w:szCs w:val="32"/>
          <w:highlight w:val="none"/>
          <w:u w:val="none"/>
          <w:lang w:val="en-US" w:eastAsia="zh-CN"/>
        </w:rPr>
        <w:t>。</w:t>
      </w:r>
      <w:r>
        <w:rPr>
          <w:rFonts w:hint="eastAsia" w:ascii="仿宋_GB2312" w:hAnsi="仿宋_GB2312" w:eastAsia="仿宋_GB2312" w:cs="仿宋_GB2312"/>
          <w:b/>
          <w:bCs/>
          <w:color w:val="auto"/>
          <w:sz w:val="32"/>
          <w:szCs w:val="32"/>
          <w:highlight w:val="none"/>
          <w:shd w:val="clear" w:color="auto" w:fill="FFFFFF"/>
        </w:rPr>
        <w:t>项目建设</w:t>
      </w:r>
      <w:r>
        <w:rPr>
          <w:rFonts w:hint="eastAsia" w:ascii="仿宋_GB2312" w:hAnsi="仿宋_GB2312" w:eastAsia="仿宋_GB2312" w:cs="仿宋_GB2312"/>
          <w:b/>
          <w:bCs/>
          <w:color w:val="auto"/>
          <w:sz w:val="32"/>
          <w:szCs w:val="32"/>
          <w:highlight w:val="none"/>
          <w:shd w:val="clear" w:color="auto" w:fill="FFFFFF"/>
          <w:lang w:val="en-US" w:eastAsia="zh-CN"/>
        </w:rPr>
        <w:t>步伐加快</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b w:val="0"/>
          <w:bCs w:val="0"/>
          <w:color w:val="auto"/>
          <w:sz w:val="32"/>
          <w:szCs w:val="32"/>
          <w:highlight w:val="none"/>
          <w:shd w:val="clear" w:color="auto" w:fill="FFFFFF"/>
          <w:lang w:val="en-US" w:eastAsia="zh-CN"/>
        </w:rPr>
        <w:t>深入实施“重点项目揭榜挂帅”行动，用好用活“大督查、大排名”和重点项目常态化调度机制，106个区级重点项目完成固定资产投资数占全区总投资的81.15%。省、市重点项目全部开工，其中省重点投资完成率124.24%，市重点投资完成率172.7%。</w:t>
      </w:r>
      <w:r>
        <w:rPr>
          <w:rFonts w:hint="eastAsia" w:ascii="仿宋_GB2312" w:hAnsi="仿宋_GB2312" w:eastAsia="仿宋_GB2312" w:cs="仿宋_GB2312"/>
          <w:color w:val="auto"/>
          <w:sz w:val="32"/>
          <w:szCs w:val="32"/>
          <w:highlight w:val="none"/>
          <w:shd w:val="clear" w:color="auto" w:fill="FFFFFF"/>
        </w:rPr>
        <w:t>20个政府专项债券项目通过审核，其中农村生活污水治理等10个项目已下达资金6.8亿元，为项目推进提供有力资金支撑。</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shd w:val="clear" w:color="auto" w:fill="FFFFFF"/>
        </w:rPr>
        <w:t>（四）改革创新</w:t>
      </w:r>
      <w:r>
        <w:rPr>
          <w:rFonts w:hint="eastAsia" w:ascii="楷体_GB2312" w:hAnsi="楷体_GB2312" w:eastAsia="楷体_GB2312" w:cs="楷体_GB2312"/>
          <w:color w:val="auto"/>
          <w:sz w:val="32"/>
          <w:szCs w:val="32"/>
          <w:highlight w:val="none"/>
          <w:shd w:val="clear" w:color="auto" w:fill="FFFFFF"/>
          <w:lang w:val="en-US" w:eastAsia="zh-CN"/>
        </w:rPr>
        <w:t>成效显著</w:t>
      </w:r>
      <w:r>
        <w:rPr>
          <w:rFonts w:hint="eastAsia" w:ascii="楷体_GB2312" w:hAnsi="楷体_GB2312" w:eastAsia="楷体_GB2312" w:cs="楷体_GB2312"/>
          <w:color w:val="auto"/>
          <w:sz w:val="32"/>
          <w:szCs w:val="32"/>
          <w:highlight w:val="none"/>
          <w:shd w:val="clear" w:color="auto" w:fill="FFFFFF"/>
        </w:rPr>
        <w:t>。</w:t>
      </w:r>
      <w:r>
        <w:rPr>
          <w:rFonts w:ascii="仿宋_GB2312" w:hAnsi="宋体" w:eastAsia="仿宋_GB2312"/>
          <w:b/>
          <w:bCs/>
          <w:color w:val="auto"/>
          <w:sz w:val="32"/>
          <w:szCs w:val="32"/>
          <w:highlight w:val="none"/>
        </w:rPr>
        <w:t>重点改革</w:t>
      </w:r>
      <w:r>
        <w:rPr>
          <w:rFonts w:hint="eastAsia" w:ascii="仿宋_GB2312" w:hAnsi="宋体" w:eastAsia="仿宋_GB2312"/>
          <w:b/>
          <w:bCs/>
          <w:color w:val="auto"/>
          <w:sz w:val="32"/>
          <w:szCs w:val="32"/>
          <w:highlight w:val="none"/>
        </w:rPr>
        <w:t>持续</w:t>
      </w:r>
      <w:r>
        <w:rPr>
          <w:rFonts w:hint="eastAsia" w:ascii="仿宋_GB2312" w:hAnsi="宋体" w:eastAsia="仿宋_GB2312"/>
          <w:b/>
          <w:bCs/>
          <w:color w:val="auto"/>
          <w:sz w:val="32"/>
          <w:szCs w:val="32"/>
          <w:highlight w:val="none"/>
          <w:lang w:val="en-US" w:eastAsia="zh-CN"/>
        </w:rPr>
        <w:t>推进</w:t>
      </w:r>
      <w:r>
        <w:rPr>
          <w:rFonts w:hint="eastAsia" w:ascii="仿宋_GB2312" w:hAnsi="宋体" w:eastAsia="仿宋_GB2312"/>
          <w:b/>
          <w:bCs/>
          <w:color w:val="auto"/>
          <w:sz w:val="32"/>
          <w:szCs w:val="32"/>
          <w:highlight w:val="none"/>
        </w:rPr>
        <w:t>。</w:t>
      </w:r>
      <w:r>
        <w:rPr>
          <w:rFonts w:hint="eastAsia" w:ascii="仿宋_GB2312" w:hAnsi="宋体" w:eastAsia="仿宋_GB2312"/>
          <w:color w:val="auto"/>
          <w:sz w:val="32"/>
          <w:szCs w:val="32"/>
          <w:highlight w:val="none"/>
        </w:rPr>
        <w:t>持续推动“放管服”改革</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宋体" w:eastAsia="仿宋_GB2312"/>
          <w:color w:val="auto"/>
          <w:sz w:val="32"/>
          <w:szCs w:val="32"/>
          <w:highlight w:val="none"/>
        </w:rPr>
        <w:t>牵头建立“济南-德州-滨州”一体化政务服务示范区</w:t>
      </w:r>
      <w:r>
        <w:rPr>
          <w:rFonts w:hint="eastAsia" w:ascii="仿宋_GB2312" w:hAnsi="仿宋_GB2312" w:eastAsia="仿宋_GB2312" w:cs="仿宋_GB2312"/>
          <w:color w:val="auto"/>
          <w:sz w:val="32"/>
          <w:szCs w:val="32"/>
          <w:highlight w:val="none"/>
          <w:shd w:val="clear" w:color="auto" w:fill="FFFFFF"/>
        </w:rPr>
        <w:t>。印发出台全市唯一营商环境专项规划，</w:t>
      </w:r>
      <w:r>
        <w:rPr>
          <w:rFonts w:hint="eastAsia" w:ascii="仿宋_GB2312" w:hAnsi="仿宋_GB2312" w:eastAsia="仿宋_GB2312" w:cs="仿宋_GB2312"/>
          <w:color w:val="auto"/>
          <w:sz w:val="32"/>
          <w:szCs w:val="32"/>
          <w:highlight w:val="none"/>
          <w:shd w:val="clear" w:color="auto" w:fill="FFFFFF"/>
          <w:lang w:val="en-US" w:eastAsia="zh-CN"/>
        </w:rPr>
        <w:t>济阳区</w:t>
      </w:r>
      <w:r>
        <w:rPr>
          <w:rFonts w:hint="eastAsia" w:ascii="仿宋_GB2312" w:hAnsi="仿宋_GB2312" w:eastAsia="仿宋_GB2312" w:cs="仿宋_GB2312"/>
          <w:color w:val="auto"/>
          <w:sz w:val="32"/>
          <w:szCs w:val="32"/>
          <w:highlight w:val="none"/>
          <w:shd w:val="clear" w:color="auto" w:fill="FFFFFF"/>
        </w:rPr>
        <w:t>荣获全国2023政务服务博览会“营商环境高质量发展优秀单位”“政务服务品牌影响力单位”荣誉称号。</w:t>
      </w:r>
      <w:r>
        <w:rPr>
          <w:rFonts w:hint="eastAsia" w:ascii="仿宋_GB2312" w:hAnsi="仿宋_GB2312" w:eastAsia="仿宋_GB2312" w:cs="仿宋_GB2312"/>
          <w:color w:val="auto"/>
          <w:sz w:val="32"/>
          <w:szCs w:val="32"/>
          <w:highlight w:val="none"/>
          <w:shd w:val="clear" w:color="auto" w:fill="FFFFFF"/>
          <w:lang w:val="en-US" w:eastAsia="zh-CN"/>
        </w:rPr>
        <w:t>打造“全区政务服务大数据展示平台”，全区1497项政务服务事项大厅进驻率和网上可办率均达100%。</w:t>
      </w:r>
      <w:r>
        <w:rPr>
          <w:rFonts w:hint="eastAsia" w:ascii="仿宋_GB2312" w:hAnsi="仿宋_GB2312" w:eastAsia="仿宋_GB2312" w:cs="仿宋_GB2312"/>
          <w:color w:val="auto"/>
          <w:sz w:val="32"/>
          <w:szCs w:val="32"/>
          <w:highlight w:val="none"/>
          <w:shd w:val="clear" w:color="auto" w:fill="FFFFFF"/>
        </w:rPr>
        <w:t>“济时办”帮办智慧平台被列为全市政务服务领域专题研究攻关课题暨试点建设项目。开启“云勘验+无人机”新模式，实现15分钟企业“无感”勘验。教育强镇筑基试点、国家中医药综合改革示范区创建等工作取得新进展。</w:t>
      </w:r>
      <w:r>
        <w:rPr>
          <w:rFonts w:hint="eastAsia" w:ascii="仿宋_GB2312" w:hAnsi="宋体" w:eastAsia="仿宋_GB2312"/>
          <w:b/>
          <w:bCs/>
          <w:color w:val="auto"/>
          <w:sz w:val="32"/>
          <w:szCs w:val="32"/>
          <w:highlight w:val="none"/>
        </w:rPr>
        <w:t>科技创新</w:t>
      </w:r>
      <w:r>
        <w:rPr>
          <w:rFonts w:hint="eastAsia" w:ascii="仿宋_GB2312" w:hAnsi="宋体" w:eastAsia="仿宋_GB2312"/>
          <w:b/>
          <w:bCs/>
          <w:color w:val="auto"/>
          <w:sz w:val="32"/>
          <w:szCs w:val="32"/>
          <w:highlight w:val="none"/>
          <w:lang w:val="en-US" w:eastAsia="zh-CN"/>
        </w:rPr>
        <w:t>屡创新高</w:t>
      </w:r>
      <w:r>
        <w:rPr>
          <w:rFonts w:hint="eastAsia" w:ascii="仿宋_GB2312" w:hAnsi="宋体" w:eastAsia="仿宋_GB2312"/>
          <w:b/>
          <w:bCs/>
          <w:color w:val="auto"/>
          <w:sz w:val="32"/>
          <w:szCs w:val="32"/>
          <w:highlight w:val="none"/>
        </w:rPr>
        <w:t>。</w:t>
      </w:r>
      <w:r>
        <w:rPr>
          <w:rFonts w:hint="eastAsia" w:ascii="仿宋_GB2312" w:hAnsi="宋体" w:eastAsia="仿宋_GB2312"/>
          <w:color w:val="auto"/>
          <w:sz w:val="32"/>
          <w:szCs w:val="32"/>
          <w:highlight w:val="none"/>
        </w:rPr>
        <w:t>新增高新技术企业</w:t>
      </w:r>
      <w:r>
        <w:rPr>
          <w:rFonts w:hint="eastAsia" w:ascii="仿宋_GB2312" w:hAnsi="宋体" w:eastAsia="仿宋_GB2312"/>
          <w:color w:val="auto"/>
          <w:sz w:val="32"/>
          <w:szCs w:val="32"/>
          <w:highlight w:val="none"/>
          <w:lang w:val="en-US" w:eastAsia="zh-CN"/>
        </w:rPr>
        <w:t>55</w:t>
      </w:r>
      <w:r>
        <w:rPr>
          <w:rFonts w:hint="eastAsia" w:ascii="仿宋_GB2312" w:hAnsi="宋体" w:eastAsia="仿宋_GB2312"/>
          <w:color w:val="auto"/>
          <w:sz w:val="32"/>
          <w:szCs w:val="32"/>
          <w:highlight w:val="none"/>
        </w:rPr>
        <w:t>家、</w:t>
      </w:r>
      <w:r>
        <w:rPr>
          <w:rFonts w:hint="eastAsia" w:ascii="仿宋_GB2312" w:hAnsi="仿宋" w:eastAsia="仿宋_GB2312" w:cs="仿宋_GB2312"/>
          <w:color w:val="auto"/>
          <w:sz w:val="32"/>
          <w:szCs w:val="32"/>
          <w:highlight w:val="none"/>
        </w:rPr>
        <w:t>国家科技型中小企业28</w:t>
      </w:r>
      <w:r>
        <w:rPr>
          <w:rFonts w:hint="eastAsia" w:ascii="仿宋_GB2312" w:hAnsi="仿宋" w:eastAsia="仿宋_GB2312" w:cs="仿宋_GB2312"/>
          <w:color w:val="auto"/>
          <w:sz w:val="32"/>
          <w:szCs w:val="32"/>
          <w:highlight w:val="none"/>
          <w:lang w:val="en-US" w:eastAsia="zh-CN"/>
        </w:rPr>
        <w:t>7</w:t>
      </w:r>
      <w:r>
        <w:rPr>
          <w:rFonts w:hint="eastAsia" w:ascii="仿宋_GB2312" w:hAnsi="仿宋" w:eastAsia="仿宋_GB2312" w:cs="仿宋_GB2312"/>
          <w:color w:val="auto"/>
          <w:sz w:val="32"/>
          <w:szCs w:val="32"/>
          <w:highlight w:val="none"/>
        </w:rPr>
        <w:t>家，创历史最好成绩。</w:t>
      </w:r>
      <w:r>
        <w:rPr>
          <w:rFonts w:hint="eastAsia" w:ascii="仿宋_GB2312" w:hAnsi="仿宋" w:eastAsia="仿宋_GB2312" w:cs="仿宋_GB2312"/>
          <w:color w:val="auto"/>
          <w:sz w:val="32"/>
          <w:szCs w:val="32"/>
          <w:highlight w:val="none"/>
          <w:lang w:val="en-US" w:eastAsia="zh-CN"/>
        </w:rPr>
        <w:t>企业研发投入增长55%</w:t>
      </w:r>
      <w:r>
        <w:rPr>
          <w:rFonts w:hint="eastAsia" w:ascii="仿宋_GB2312" w:hAnsi="宋体" w:eastAsia="仿宋_GB2312"/>
          <w:color w:val="auto"/>
          <w:sz w:val="32"/>
          <w:szCs w:val="32"/>
          <w:highlight w:val="none"/>
        </w:rPr>
        <w:t>，技术合同成交额完成6.</w:t>
      </w:r>
      <w:r>
        <w:rPr>
          <w:rFonts w:hint="eastAsia" w:ascii="仿宋_GB2312" w:hAnsi="宋体" w:eastAsia="仿宋_GB2312"/>
          <w:color w:val="auto"/>
          <w:sz w:val="32"/>
          <w:szCs w:val="32"/>
          <w:highlight w:val="none"/>
          <w:lang w:val="en-US" w:eastAsia="zh-CN"/>
        </w:rPr>
        <w:t>79</w:t>
      </w:r>
      <w:r>
        <w:rPr>
          <w:rFonts w:hint="eastAsia" w:ascii="仿宋_GB2312" w:hAnsi="宋体" w:eastAsia="仿宋_GB2312"/>
          <w:color w:val="auto"/>
          <w:sz w:val="32"/>
          <w:szCs w:val="32"/>
          <w:highlight w:val="none"/>
        </w:rPr>
        <w:t>亿元，比去年翻一番。</w:t>
      </w:r>
      <w:r>
        <w:rPr>
          <w:rFonts w:hint="eastAsia" w:ascii="仿宋_GB2312" w:hAnsi="宋体" w:eastAsia="仿宋_GB2312"/>
          <w:color w:val="auto"/>
          <w:sz w:val="32"/>
          <w:szCs w:val="32"/>
          <w:highlight w:val="none"/>
          <w:lang w:val="en-US" w:eastAsia="zh-CN"/>
        </w:rPr>
        <w:t>汉方制药获批省新旧动能转换重大产业攻关项目</w:t>
      </w:r>
      <w:r>
        <w:rPr>
          <w:rFonts w:hint="eastAsia" w:ascii="仿宋_GB2312" w:hAnsi="宋体" w:eastAsia="仿宋_GB2312"/>
          <w:color w:val="auto"/>
          <w:sz w:val="32"/>
          <w:szCs w:val="32"/>
          <w:highlight w:val="none"/>
        </w:rPr>
        <w:t>，营养源科技成功立项山东省2023年中央引导地方科技发展资金项目。</w:t>
      </w:r>
      <w:r>
        <w:rPr>
          <w:rFonts w:hint="eastAsia" w:ascii="仿宋_GB2312" w:hAnsi="宋体" w:eastAsia="仿宋_GB2312"/>
          <w:b/>
          <w:bCs/>
          <w:color w:val="auto"/>
          <w:sz w:val="32"/>
          <w:szCs w:val="32"/>
          <w:highlight w:val="none"/>
        </w:rPr>
        <w:t>先行先试亮点纷呈。</w:t>
      </w:r>
      <w:r>
        <w:rPr>
          <w:rFonts w:hint="eastAsia" w:ascii="仿宋_GB2312" w:hAnsi="宋体" w:eastAsia="仿宋_GB2312"/>
          <w:color w:val="auto"/>
          <w:sz w:val="32"/>
          <w:szCs w:val="32"/>
          <w:highlight w:val="none"/>
        </w:rPr>
        <w:t>济北开发区获省级绿色低碳高质量发展先行区产业园区试点</w:t>
      </w:r>
      <w:r>
        <w:rPr>
          <w:rFonts w:hint="eastAsia" w:ascii="仿宋_GB2312" w:hAnsi="宋体"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扩区调区方案获省政府批复，工业项目落地空间进一步拓展。强化省市联动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建立海峡两岸产业合作区工作联席会议机制。深化鲁台经贸合作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成功举办“绿色低碳高质量发展泉城论坛”“民营企业500强走进合作区”等活动。</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仿宋"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shd w:val="clear" w:color="auto" w:fill="FFFFFF"/>
        </w:rPr>
        <w:t>（五）城乡融合发展</w:t>
      </w:r>
      <w:r>
        <w:rPr>
          <w:rFonts w:hint="eastAsia" w:ascii="楷体_GB2312" w:hAnsi="楷体_GB2312" w:eastAsia="楷体_GB2312" w:cs="楷体_GB2312"/>
          <w:color w:val="auto"/>
          <w:sz w:val="32"/>
          <w:szCs w:val="32"/>
          <w:highlight w:val="none"/>
          <w:shd w:val="clear" w:color="auto" w:fill="FFFFFF"/>
          <w:lang w:val="en-US" w:eastAsia="zh-CN"/>
        </w:rPr>
        <w:t>稳步前进</w:t>
      </w:r>
      <w:r>
        <w:rPr>
          <w:rFonts w:hint="eastAsia" w:ascii="楷体_GB2312" w:hAnsi="楷体_GB2312" w:eastAsia="楷体_GB2312" w:cs="楷体_GB2312"/>
          <w:color w:val="auto"/>
          <w:sz w:val="32"/>
          <w:szCs w:val="32"/>
          <w:highlight w:val="none"/>
          <w:shd w:val="clear" w:color="auto" w:fill="FFFFFF"/>
        </w:rPr>
        <w:t>。</w:t>
      </w:r>
      <w:r>
        <w:rPr>
          <w:rFonts w:hint="eastAsia" w:ascii="仿宋_GB2312" w:hAnsi="仿宋_GB2312" w:eastAsia="仿宋_GB2312" w:cs="仿宋_GB2312"/>
          <w:b/>
          <w:bCs/>
          <w:color w:val="auto"/>
          <w:sz w:val="32"/>
          <w:szCs w:val="32"/>
          <w:highlight w:val="none"/>
          <w:shd w:val="clear" w:color="auto" w:fill="FFFFFF"/>
        </w:rPr>
        <w:t>规划引领持续</w:t>
      </w:r>
      <w:r>
        <w:rPr>
          <w:rFonts w:hint="eastAsia" w:ascii="仿宋_GB2312" w:hAnsi="仿宋_GB2312" w:eastAsia="仿宋_GB2312" w:cs="仿宋_GB2312"/>
          <w:b/>
          <w:bCs/>
          <w:color w:val="auto"/>
          <w:sz w:val="32"/>
          <w:szCs w:val="32"/>
          <w:highlight w:val="none"/>
          <w:shd w:val="clear" w:color="auto" w:fill="FFFFFF"/>
          <w:lang w:val="en-US" w:eastAsia="zh-CN"/>
        </w:rPr>
        <w:t>强化</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color w:val="auto"/>
          <w:kern w:val="2"/>
          <w:sz w:val="32"/>
          <w:szCs w:val="32"/>
          <w:highlight w:val="none"/>
          <w:u w:val="none"/>
          <w:lang w:val="en-US" w:eastAsia="zh-CN" w:bidi="ar-SA"/>
        </w:rPr>
        <w:t>《起步区-紧密协作区协同发展规划》</w:t>
      </w:r>
      <w:r>
        <w:rPr>
          <w:rFonts w:hint="eastAsia" w:ascii="仿宋_GB2312" w:hAnsi="Times New Roman" w:eastAsia="仿宋_GB2312"/>
          <w:color w:val="auto"/>
          <w:sz w:val="32"/>
          <w:szCs w:val="32"/>
          <w:highlight w:val="none"/>
          <w:u w:val="none"/>
          <w:lang w:eastAsia="zh-CN"/>
        </w:rPr>
        <w:t>《</w:t>
      </w:r>
      <w:r>
        <w:rPr>
          <w:rFonts w:hint="eastAsia" w:ascii="仿宋_GB2312" w:hAnsi="Times New Roman" w:eastAsia="仿宋_GB2312"/>
          <w:color w:val="auto"/>
          <w:sz w:val="32"/>
          <w:szCs w:val="32"/>
          <w:highlight w:val="none"/>
          <w:u w:val="none"/>
          <w:lang w:val="en-US" w:eastAsia="zh-CN"/>
        </w:rPr>
        <w:t>济南市济阳区新型城镇化规划（2021-2035年）</w:t>
      </w:r>
      <w:r>
        <w:rPr>
          <w:rFonts w:hint="eastAsia" w:ascii="仿宋_GB2312" w:hAnsi="Times New Roman" w:eastAsia="仿宋_GB2312"/>
          <w:color w:val="auto"/>
          <w:sz w:val="32"/>
          <w:szCs w:val="32"/>
          <w:highlight w:val="none"/>
          <w:u w:val="none"/>
          <w:lang w:eastAsia="zh-CN"/>
        </w:rPr>
        <w:t>》</w:t>
      </w:r>
      <w:r>
        <w:rPr>
          <w:rFonts w:hint="eastAsia" w:ascii="仿宋_GB2312" w:hAnsi="Times New Roman" w:eastAsia="仿宋_GB2312"/>
          <w:color w:val="auto"/>
          <w:sz w:val="32"/>
          <w:szCs w:val="32"/>
          <w:highlight w:val="none"/>
          <w:u w:val="none"/>
          <w:lang w:val="en-US" w:eastAsia="zh-CN"/>
        </w:rPr>
        <w:t>按计划顺利推进。优化空间布局，</w:t>
      </w:r>
      <w:r>
        <w:rPr>
          <w:rFonts w:hint="eastAsia" w:ascii="仿宋_GB2312" w:hAnsi="仿宋_GB2312" w:eastAsia="仿宋_GB2312" w:cs="仿宋_GB2312"/>
          <w:snapToGrid w:val="0"/>
          <w:color w:val="auto"/>
          <w:kern w:val="0"/>
          <w:sz w:val="32"/>
          <w:szCs w:val="32"/>
          <w:highlight w:val="none"/>
          <w:lang w:val="en-US" w:eastAsia="zh-CN"/>
        </w:rPr>
        <w:t>高效推进济南市国土空间规划济阳分区规划编制成果上报，</w:t>
      </w:r>
      <w:r>
        <w:rPr>
          <w:rFonts w:hint="eastAsia" w:ascii="仿宋_GB2312" w:hAnsi="仿宋_GB2312" w:eastAsia="仿宋_GB2312" w:cs="仿宋_GB2312"/>
          <w:color w:val="auto"/>
          <w:kern w:val="2"/>
          <w:sz w:val="32"/>
          <w:szCs w:val="32"/>
          <w:highlight w:val="none"/>
          <w:lang w:val="en-US" w:eastAsia="zh-CN" w:bidi="ar-SA"/>
        </w:rPr>
        <w:t>完成燃气、海绵城市、综合管廊等专项规划。黄河岸边水生态城市加快建设，编制完成《济阳智慧水生态城市策划方案》《济南市济阳区现代水网建设规划》。</w:t>
      </w:r>
      <w:r>
        <w:rPr>
          <w:rFonts w:hint="eastAsia" w:ascii="仿宋_GB2312" w:hAnsi="仿宋" w:eastAsia="仿宋_GB2312" w:cs="仿宋_GB2312"/>
          <w:b/>
          <w:bCs/>
          <w:color w:val="auto"/>
          <w:sz w:val="32"/>
          <w:szCs w:val="32"/>
          <w:highlight w:val="none"/>
        </w:rPr>
        <w:t>城乡面貌日新月异。</w:t>
      </w:r>
      <w:r>
        <w:rPr>
          <w:rFonts w:hint="eastAsia" w:ascii="仿宋_GB2312" w:hAnsi="仿宋" w:eastAsia="仿宋_GB2312" w:cs="仿宋_GB2312"/>
          <w:color w:val="auto"/>
          <w:sz w:val="32"/>
          <w:szCs w:val="32"/>
          <w:highlight w:val="none"/>
          <w:lang w:val="en-US" w:eastAsia="zh-CN"/>
        </w:rPr>
        <w:t>加速推进智慧城市试点工作，成功建设省级四星级新型智慧城市，澄波社区等5个社区顺利通过省级基础型智慧社区验收，荷畔社区荣获省级标杆型智慧社区。全力保障济南绕城高速“大北环”、济滨高铁项目建设，黄河大道北延工程建设按计划顺利推进，有轨电车济阳通道完成工程量的90%。新建“四好农村路”120公里。生物质热源厂余热管网与昊阳热力管网实现贯通，新增供热面积101万平方米，建成公共充电桩504个，超额完成年度建设计划。持续深化农村人居环境提升，建成“四小园”270个，提升改造垃圾分类亭70处，塑造“微景观”1000余处。创建垛石街道乡村振兴农业综合示范区，建成省级和美乡村示范村3个。</w:t>
      </w:r>
      <w:r>
        <w:rPr>
          <w:rFonts w:hint="eastAsia" w:ascii="仿宋_GB2312" w:hAnsi="仿宋_GB2312" w:eastAsia="仿宋_GB2312" w:cs="仿宋_GB2312"/>
          <w:color w:val="auto"/>
          <w:sz w:val="32"/>
          <w:szCs w:val="32"/>
          <w:highlight w:val="none"/>
          <w:lang w:val="en-US" w:eastAsia="zh-CN"/>
        </w:rPr>
        <w:t>加快</w:t>
      </w:r>
      <w:r>
        <w:rPr>
          <w:rFonts w:hint="eastAsia" w:ascii="仿宋_GB2312" w:hAnsi="仿宋_GB2312" w:eastAsia="仿宋_GB2312" w:cs="仿宋_GB2312"/>
          <w:color w:val="auto"/>
          <w:sz w:val="32"/>
          <w:szCs w:val="32"/>
          <w:highlight w:val="none"/>
        </w:rPr>
        <w:t>安置区建设，实施安置区项目9个，完成分房</w:t>
      </w:r>
      <w:r>
        <w:rPr>
          <w:rFonts w:hint="eastAsia" w:ascii="仿宋_GB2312" w:hAnsi="仿宋_GB2312" w:eastAsia="仿宋_GB2312" w:cs="仿宋_GB2312"/>
          <w:color w:val="auto"/>
          <w:sz w:val="32"/>
          <w:szCs w:val="32"/>
          <w:highlight w:val="none"/>
          <w:lang w:val="en-US" w:eastAsia="zh-CN"/>
        </w:rPr>
        <w:t>1404</w:t>
      </w:r>
      <w:r>
        <w:rPr>
          <w:rFonts w:hint="eastAsia" w:ascii="仿宋_GB2312" w:hAnsi="仿宋_GB2312" w:eastAsia="仿宋_GB2312" w:cs="仿宋_GB2312"/>
          <w:color w:val="auto"/>
          <w:sz w:val="32"/>
          <w:szCs w:val="32"/>
          <w:highlight w:val="none"/>
        </w:rPr>
        <w:t>套，更衣亭、丽景等安置区有序推进。严格落实“四不摘”工作要求，脱贫人口年人均纯收入为</w:t>
      </w:r>
      <w:r>
        <w:rPr>
          <w:rFonts w:hint="eastAsia" w:ascii="仿宋_GB2312" w:hAnsi="仿宋_GB2312" w:eastAsia="仿宋_GB2312" w:cs="仿宋_GB2312"/>
          <w:color w:val="auto"/>
          <w:sz w:val="32"/>
          <w:szCs w:val="32"/>
          <w:highlight w:val="none"/>
          <w:lang w:val="en-US" w:eastAsia="zh-CN"/>
        </w:rPr>
        <w:t>15422.2</w:t>
      </w:r>
      <w:r>
        <w:rPr>
          <w:rFonts w:hint="eastAsia" w:ascii="仿宋_GB2312" w:hAnsi="仿宋_GB2312" w:eastAsia="仿宋_GB2312" w:cs="仿宋_GB2312"/>
          <w:color w:val="auto"/>
          <w:sz w:val="32"/>
          <w:szCs w:val="32"/>
          <w:highlight w:val="none"/>
        </w:rPr>
        <w:t>元，增长</w:t>
      </w:r>
      <w:r>
        <w:rPr>
          <w:rFonts w:hint="eastAsia" w:ascii="仿宋_GB2312" w:hAnsi="仿宋_GB2312" w:eastAsia="仿宋_GB2312" w:cs="仿宋_GB2312"/>
          <w:color w:val="auto"/>
          <w:sz w:val="32"/>
          <w:szCs w:val="32"/>
          <w:highlight w:val="none"/>
          <w:lang w:val="en-US" w:eastAsia="zh-CN"/>
        </w:rPr>
        <w:t>11.68</w:t>
      </w:r>
      <w:r>
        <w:rPr>
          <w:rFonts w:hint="eastAsia" w:ascii="仿宋_GB2312" w:hAnsi="仿宋_GB2312" w:eastAsia="仿宋_GB2312" w:cs="仿宋_GB2312"/>
          <w:color w:val="auto"/>
          <w:sz w:val="32"/>
          <w:szCs w:val="32"/>
          <w:highlight w:val="none"/>
        </w:rPr>
        <w:t>%</w:t>
      </w:r>
      <w:r>
        <w:rPr>
          <w:rFonts w:hint="eastAsia" w:ascii="仿宋_GB2312" w:hAnsi="宋体" w:eastAsia="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全市</w:t>
      </w:r>
      <w:r>
        <w:rPr>
          <w:rFonts w:hint="eastAsia" w:ascii="仿宋_GB2312" w:hAnsi="仿宋_GB2312" w:eastAsia="仿宋_GB2312" w:cs="仿宋_GB2312"/>
          <w:color w:val="auto"/>
          <w:sz w:val="32"/>
          <w:szCs w:val="32"/>
          <w:highlight w:val="none"/>
        </w:rPr>
        <w:t>首创防返贫监测平台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率先</w:t>
      </w:r>
      <w:r>
        <w:rPr>
          <w:rFonts w:hint="eastAsia" w:ascii="仿宋_GB2312" w:hAnsi="仿宋_GB2312" w:eastAsia="仿宋_GB2312" w:cs="仿宋_GB2312"/>
          <w:color w:val="auto"/>
          <w:sz w:val="32"/>
          <w:szCs w:val="32"/>
          <w:highlight w:val="none"/>
        </w:rPr>
        <w:t>推出防贫综合保险。</w:t>
      </w:r>
      <w:r>
        <w:rPr>
          <w:rFonts w:hint="eastAsia" w:ascii="仿宋_GB2312" w:hAnsi="仿宋_GB2312" w:eastAsia="仿宋_GB2312" w:cs="仿宋_GB2312"/>
          <w:b/>
          <w:bCs/>
          <w:color w:val="auto"/>
          <w:sz w:val="32"/>
          <w:szCs w:val="32"/>
          <w:highlight w:val="none"/>
        </w:rPr>
        <w:t>生态环境</w:t>
      </w:r>
      <w:r>
        <w:rPr>
          <w:rFonts w:hint="eastAsia" w:ascii="仿宋_GB2312" w:hAnsi="仿宋_GB2312" w:eastAsia="仿宋_GB2312" w:cs="仿宋_GB2312"/>
          <w:b/>
          <w:bCs/>
          <w:color w:val="auto"/>
          <w:sz w:val="32"/>
          <w:szCs w:val="32"/>
          <w:highlight w:val="none"/>
          <w:lang w:val="en-US" w:eastAsia="zh-CN"/>
        </w:rPr>
        <w:t>总体向好</w:t>
      </w:r>
      <w:r>
        <w:rPr>
          <w:rFonts w:hint="eastAsia" w:ascii="仿宋_GB2312" w:hAnsi="仿宋_GB2312" w:eastAsia="仿宋_GB2312" w:cs="仿宋_GB2312"/>
          <w:b/>
          <w:bCs/>
          <w:color w:val="auto"/>
          <w:sz w:val="32"/>
          <w:szCs w:val="32"/>
          <w:highlight w:val="none"/>
        </w:rPr>
        <w:t>。</w:t>
      </w:r>
      <w:r>
        <w:rPr>
          <w:rFonts w:hint="eastAsia" w:ascii="仿宋_GB2312" w:hAnsi="宋体" w:eastAsia="仿宋_GB2312" w:cs="仿宋_GB2312"/>
          <w:color w:val="auto"/>
          <w:kern w:val="0"/>
          <w:sz w:val="32"/>
          <w:szCs w:val="32"/>
          <w:highlight w:val="none"/>
          <w:lang w:bidi="ar"/>
        </w:rPr>
        <w:t>曲堤水质净化厂、第一污水处理厂一期扩容改造工程全部竣工，</w:t>
      </w:r>
      <w:r>
        <w:rPr>
          <w:rFonts w:hint="eastAsia" w:ascii="仿宋_GB2312" w:hAnsi="仿宋" w:eastAsia="仿宋_GB2312" w:cs="仿宋_GB2312"/>
          <w:color w:val="auto"/>
          <w:sz w:val="32"/>
          <w:szCs w:val="32"/>
          <w:highlight w:val="none"/>
          <w:lang w:val="en-US" w:eastAsia="zh-CN"/>
        </w:rPr>
        <w:t>铺设改造农村供水管网419公里，</w:t>
      </w:r>
      <w:r>
        <w:rPr>
          <w:rFonts w:hint="eastAsia" w:ascii="仿宋_GB2312" w:hAnsi="宋体" w:eastAsia="仿宋_GB2312" w:cs="仿宋_GB2312"/>
          <w:color w:val="auto"/>
          <w:kern w:val="0"/>
          <w:sz w:val="32"/>
          <w:szCs w:val="32"/>
          <w:highlight w:val="none"/>
          <w:lang w:bidi="ar"/>
        </w:rPr>
        <w:t>完成</w:t>
      </w:r>
      <w:r>
        <w:rPr>
          <w:rFonts w:hint="eastAsia" w:ascii="仿宋_GB2312" w:hAnsi="宋体" w:eastAsia="仿宋_GB2312" w:cs="仿宋_GB2312"/>
          <w:color w:val="auto"/>
          <w:kern w:val="0"/>
          <w:sz w:val="32"/>
          <w:szCs w:val="32"/>
          <w:highlight w:val="none"/>
          <w:lang w:val="en-US" w:eastAsia="zh-CN" w:bidi="ar"/>
        </w:rPr>
        <w:t>162个</w:t>
      </w:r>
      <w:r>
        <w:rPr>
          <w:rFonts w:hint="eastAsia" w:ascii="仿宋_GB2312" w:hAnsi="宋体" w:eastAsia="仿宋_GB2312" w:cs="仿宋_GB2312"/>
          <w:color w:val="auto"/>
          <w:kern w:val="0"/>
          <w:sz w:val="32"/>
          <w:szCs w:val="32"/>
          <w:highlight w:val="none"/>
          <w:lang w:bidi="ar"/>
        </w:rPr>
        <w:t>村生活污水管网铺设，城区雨污分流改造</w:t>
      </w:r>
      <w:r>
        <w:rPr>
          <w:rFonts w:hint="eastAsia" w:ascii="仿宋_GB2312" w:hAnsi="宋体" w:eastAsia="仿宋_GB2312" w:cs="仿宋_GB2312"/>
          <w:color w:val="auto"/>
          <w:kern w:val="0"/>
          <w:sz w:val="32"/>
          <w:szCs w:val="32"/>
          <w:highlight w:val="none"/>
          <w:lang w:val="en-US" w:eastAsia="zh-CN" w:bidi="ar"/>
        </w:rPr>
        <w:t>24.03</w:t>
      </w:r>
      <w:r>
        <w:rPr>
          <w:rFonts w:hint="eastAsia" w:ascii="仿宋_GB2312" w:hAnsi="宋体" w:eastAsia="仿宋_GB2312" w:cs="仿宋_GB2312"/>
          <w:color w:val="auto"/>
          <w:kern w:val="0"/>
          <w:sz w:val="32"/>
          <w:szCs w:val="32"/>
          <w:highlight w:val="none"/>
          <w:lang w:bidi="ar"/>
        </w:rPr>
        <w:t>公里。</w:t>
      </w:r>
      <w:r>
        <w:rPr>
          <w:rFonts w:hint="eastAsia" w:ascii="仿宋_GB2312" w:hAnsi="宋体" w:eastAsia="仿宋_GB2312" w:cs="仿宋_GB2312"/>
          <w:color w:val="auto"/>
          <w:kern w:val="0"/>
          <w:sz w:val="32"/>
          <w:szCs w:val="32"/>
          <w:highlight w:val="none"/>
          <w:lang w:val="en-US" w:eastAsia="zh-CN" w:bidi="ar"/>
        </w:rPr>
        <w:t>污染源头治理</w:t>
      </w:r>
      <w:r>
        <w:rPr>
          <w:rFonts w:hint="eastAsia" w:ascii="仿宋_GB2312" w:hAnsi="宋体" w:eastAsia="仿宋_GB2312" w:cs="仿宋_GB2312"/>
          <w:color w:val="auto"/>
          <w:kern w:val="0"/>
          <w:sz w:val="32"/>
          <w:szCs w:val="32"/>
          <w:highlight w:val="none"/>
          <w:lang w:bidi="ar"/>
        </w:rPr>
        <w:t>“无废城市”建设稳步开展，</w:t>
      </w:r>
      <w:r>
        <w:rPr>
          <w:rFonts w:hint="eastAsia" w:ascii="仿宋_GB2312" w:hAnsi="仿宋_GB2312" w:eastAsia="仿宋_GB2312" w:cs="仿宋_GB2312"/>
          <w:color w:val="auto"/>
          <w:sz w:val="32"/>
          <w:szCs w:val="32"/>
          <w:highlight w:val="none"/>
          <w:lang w:val="en-US" w:eastAsia="zh-CN"/>
        </w:rPr>
        <w:t>荷畔</w:t>
      </w:r>
      <w:r>
        <w:rPr>
          <w:rFonts w:hint="eastAsia" w:ascii="仿宋_GB2312" w:hAnsi="宋体" w:eastAsia="仿宋_GB2312" w:cs="仿宋_GB2312"/>
          <w:color w:val="auto"/>
          <w:kern w:val="0"/>
          <w:sz w:val="32"/>
          <w:szCs w:val="32"/>
          <w:highlight w:val="none"/>
          <w:lang w:bidi="ar"/>
        </w:rPr>
        <w:t>社区、葛店村入选省级“近零碳社区（村）”创建试点，</w:t>
      </w:r>
      <w:r>
        <w:rPr>
          <w:rFonts w:hint="eastAsia" w:ascii="仿宋_GB2312" w:hAnsi="仿宋_GB2312" w:eastAsia="仿宋_GB2312" w:cs="仿宋_GB2312"/>
          <w:color w:val="auto"/>
          <w:sz w:val="32"/>
          <w:szCs w:val="32"/>
          <w:highlight w:val="none"/>
          <w:lang w:val="en-US" w:eastAsia="zh-CN"/>
        </w:rPr>
        <w:t>统一食品等5家企业获批济南市“绿色工厂”</w:t>
      </w:r>
      <w:r>
        <w:rPr>
          <w:rFonts w:hint="eastAsia" w:ascii="仿宋_GB2312" w:hAnsi="仿宋_GB2312" w:eastAsia="仿宋_GB2312" w:cs="仿宋_GB2312"/>
          <w:color w:val="auto"/>
          <w:sz w:val="32"/>
          <w:szCs w:val="32"/>
          <w:highlight w:val="none"/>
        </w:rPr>
        <w:t>，</w:t>
      </w:r>
      <w:r>
        <w:rPr>
          <w:rFonts w:hint="eastAsia" w:ascii="仿宋_GB2312" w:hAnsi="宋体" w:eastAsia="仿宋_GB2312" w:cs="仿宋_GB2312"/>
          <w:color w:val="auto"/>
          <w:kern w:val="0"/>
          <w:sz w:val="32"/>
          <w:szCs w:val="32"/>
          <w:highlight w:val="none"/>
          <w:lang w:bidi="ar"/>
        </w:rPr>
        <w:t>济北开发区</w:t>
      </w:r>
      <w:r>
        <w:rPr>
          <w:rFonts w:hint="eastAsia" w:ascii="仿宋_GB2312" w:hAnsi="宋体" w:eastAsia="仿宋_GB2312" w:cs="仿宋_GB2312"/>
          <w:color w:val="auto"/>
          <w:kern w:val="0"/>
          <w:sz w:val="32"/>
          <w:szCs w:val="32"/>
          <w:highlight w:val="none"/>
          <w:lang w:val="en-US" w:eastAsia="zh-CN" w:bidi="ar"/>
        </w:rPr>
        <w:t>成功</w:t>
      </w:r>
      <w:r>
        <w:rPr>
          <w:rFonts w:hint="eastAsia" w:ascii="仿宋_GB2312" w:hAnsi="宋体" w:eastAsia="仿宋_GB2312" w:cs="仿宋_GB2312"/>
          <w:color w:val="auto"/>
          <w:kern w:val="0"/>
          <w:sz w:val="32"/>
          <w:szCs w:val="32"/>
          <w:highlight w:val="none"/>
          <w:lang w:bidi="ar"/>
        </w:rPr>
        <w:t>入选市级“无废园区”、省级“生态工业园区”建设试点</w:t>
      </w:r>
      <w:r>
        <w:rPr>
          <w:rFonts w:hint="eastAsia" w:ascii="仿宋_GB2312" w:hAnsi="仿宋_GB2312" w:eastAsia="仿宋_GB2312" w:cs="仿宋_GB2312"/>
          <w:color w:val="auto"/>
          <w:sz w:val="32"/>
          <w:szCs w:val="32"/>
          <w:highlight w:val="none"/>
        </w:rPr>
        <w:t>。持续实施能耗双控，全面完成煤炭消费压减任务，新能源装机容量大幅提升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环境质量取得显著成效，空气质量优良天数214天。</w:t>
      </w:r>
      <w:r>
        <w:rPr>
          <w:rFonts w:hint="eastAsia" w:ascii="仿宋_GB2312" w:hAnsi="宋体" w:eastAsia="仿宋_GB2312" w:cs="仿宋_GB2312"/>
          <w:color w:val="auto"/>
          <w:kern w:val="0"/>
          <w:sz w:val="32"/>
          <w:szCs w:val="32"/>
          <w:highlight w:val="none"/>
          <w:lang w:bidi="ar"/>
        </w:rPr>
        <w:t>提升</w:t>
      </w:r>
      <w:r>
        <w:rPr>
          <w:rFonts w:hint="eastAsia" w:ascii="仿宋_GB2312" w:hAnsi="宋体" w:eastAsia="仿宋_GB2312" w:cs="仿宋_GB2312"/>
          <w:color w:val="auto"/>
          <w:kern w:val="0"/>
          <w:sz w:val="32"/>
          <w:szCs w:val="32"/>
          <w:highlight w:val="none"/>
          <w:lang w:val="en-US" w:eastAsia="zh-CN" w:bidi="ar"/>
        </w:rPr>
        <w:t>绿地景观水平</w:t>
      </w:r>
      <w:r>
        <w:rPr>
          <w:rFonts w:hint="eastAsia" w:ascii="仿宋_GB2312" w:hAnsi="宋体" w:eastAsia="仿宋_GB2312" w:cs="仿宋_GB2312"/>
          <w:color w:val="auto"/>
          <w:kern w:val="0"/>
          <w:sz w:val="32"/>
          <w:szCs w:val="32"/>
          <w:highlight w:val="none"/>
          <w:lang w:bidi="ar"/>
        </w:rPr>
        <w:t>，新建城区公园游园6处、绿道6公里。严格落实“河湖长制”，黄河下游“十四五”防洪工程、徒骇河防洪治理项目</w:t>
      </w:r>
      <w:r>
        <w:rPr>
          <w:rFonts w:hint="eastAsia" w:ascii="仿宋_GB2312" w:hAnsi="宋体" w:eastAsia="仿宋_GB2312" w:cs="仿宋_GB2312"/>
          <w:color w:val="auto"/>
          <w:kern w:val="0"/>
          <w:sz w:val="32"/>
          <w:szCs w:val="32"/>
          <w:highlight w:val="none"/>
          <w:lang w:val="en-US" w:eastAsia="zh-CN" w:bidi="ar"/>
        </w:rPr>
        <w:t>全部完工</w:t>
      </w:r>
      <w:r>
        <w:rPr>
          <w:rFonts w:hint="eastAsia" w:ascii="仿宋_GB2312" w:hAnsi="宋体" w:eastAsia="仿宋_GB2312" w:cs="仿宋_GB2312"/>
          <w:color w:val="auto"/>
          <w:kern w:val="0"/>
          <w:sz w:val="32"/>
          <w:szCs w:val="32"/>
          <w:highlight w:val="none"/>
          <w:lang w:bidi="ar"/>
        </w:rPr>
        <w:t>。黄河济阳段</w:t>
      </w:r>
      <w:r>
        <w:rPr>
          <w:rFonts w:hint="eastAsia" w:ascii="仿宋_GB2312" w:hAnsi="宋体" w:eastAsia="仿宋_GB2312" w:cs="仿宋_GB2312"/>
          <w:color w:val="auto"/>
          <w:kern w:val="0"/>
          <w:sz w:val="32"/>
          <w:szCs w:val="32"/>
          <w:highlight w:val="none"/>
          <w:lang w:val="en-US" w:eastAsia="zh-CN" w:bidi="ar"/>
        </w:rPr>
        <w:t>省级美丽幸福示范河湖完成区级验收</w:t>
      </w:r>
      <w:r>
        <w:rPr>
          <w:rFonts w:hint="eastAsia" w:ascii="仿宋_GB2312" w:hAnsi="宋体" w:eastAsia="仿宋_GB2312" w:cs="仿宋_GB2312"/>
          <w:color w:val="auto"/>
          <w:kern w:val="0"/>
          <w:sz w:val="32"/>
          <w:szCs w:val="32"/>
          <w:highlight w:val="none"/>
          <w:lang w:bidi="ar"/>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仿宋_GB2312" w:eastAsia="仿宋_GB2312" w:cs="仿宋_GB2312"/>
          <w:b/>
          <w:bCs/>
          <w:color w:val="auto"/>
          <w:sz w:val="32"/>
          <w:szCs w:val="32"/>
          <w:highlight w:val="none"/>
        </w:rPr>
      </w:pPr>
      <w:r>
        <w:rPr>
          <w:rFonts w:hint="eastAsia" w:ascii="楷体_GB2312" w:hAnsi="楷体_GB2312" w:eastAsia="楷体_GB2312" w:cs="楷体_GB2312"/>
          <w:color w:val="auto"/>
          <w:sz w:val="32"/>
          <w:szCs w:val="32"/>
          <w:highlight w:val="none"/>
          <w:shd w:val="clear" w:color="auto" w:fill="FFFFFF"/>
        </w:rPr>
        <w:t>（六）民生保障更加健全。</w:t>
      </w:r>
      <w:r>
        <w:rPr>
          <w:rFonts w:hint="eastAsia" w:ascii="仿宋_GB2312" w:hAnsi="仿宋_GB2312" w:eastAsia="仿宋_GB2312" w:cs="仿宋_GB2312"/>
          <w:b/>
          <w:bCs/>
          <w:color w:val="auto"/>
          <w:sz w:val="32"/>
          <w:szCs w:val="32"/>
          <w:highlight w:val="none"/>
        </w:rPr>
        <w:t>社会保障更加全面。</w:t>
      </w:r>
      <w:r>
        <w:rPr>
          <w:rFonts w:hint="eastAsia" w:ascii="仿宋_GB2312" w:hAnsi="仿宋_GB2312" w:eastAsia="仿宋_GB2312" w:cs="仿宋_GB2312"/>
          <w:color w:val="auto"/>
          <w:sz w:val="32"/>
          <w:szCs w:val="32"/>
          <w:highlight w:val="none"/>
        </w:rPr>
        <w:t>全年民生支出</w:t>
      </w:r>
      <w:r>
        <w:rPr>
          <w:rFonts w:hint="eastAsia" w:ascii="仿宋_GB2312" w:hAnsi="仿宋_GB2312" w:eastAsia="仿宋_GB2312" w:cs="仿宋_GB2312"/>
          <w:color w:val="auto"/>
          <w:sz w:val="32"/>
          <w:szCs w:val="32"/>
          <w:highlight w:val="none"/>
          <w:lang w:val="en-US" w:eastAsia="zh-CN"/>
        </w:rPr>
        <w:t>37.24</w:t>
      </w:r>
      <w:r>
        <w:rPr>
          <w:rFonts w:hint="eastAsia" w:ascii="仿宋_GB2312" w:hAnsi="仿宋_GB2312" w:eastAsia="仿宋_GB2312" w:cs="仿宋_GB2312"/>
          <w:color w:val="auto"/>
          <w:sz w:val="32"/>
          <w:szCs w:val="32"/>
          <w:highlight w:val="none"/>
        </w:rPr>
        <w:t>亿元，占一般公共预算支出的</w:t>
      </w:r>
      <w:r>
        <w:rPr>
          <w:rFonts w:hint="eastAsia" w:ascii="仿宋_GB2312" w:hAnsi="仿宋_GB2312" w:eastAsia="仿宋_GB2312" w:cs="仿宋_GB2312"/>
          <w:color w:val="auto"/>
          <w:sz w:val="32"/>
          <w:szCs w:val="32"/>
          <w:highlight w:val="none"/>
          <w:lang w:val="en-US" w:eastAsia="zh-CN"/>
        </w:rPr>
        <w:t>85.2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居民养老保险参保人数达</w:t>
      </w:r>
      <w:r>
        <w:rPr>
          <w:rFonts w:hint="eastAsia" w:ascii="仿宋_GB2312" w:hAnsi="仿宋_GB2312" w:eastAsia="仿宋_GB2312" w:cs="仿宋_GB2312"/>
          <w:color w:val="auto"/>
          <w:sz w:val="32"/>
          <w:szCs w:val="32"/>
          <w:highlight w:val="none"/>
        </w:rPr>
        <w:t>22.9</w:t>
      </w:r>
      <w:r>
        <w:rPr>
          <w:rFonts w:hint="eastAsia" w:ascii="仿宋_GB2312" w:hAnsi="仿宋_GB2312" w:eastAsia="仿宋_GB2312" w:cs="仿宋_GB2312"/>
          <w:bCs/>
          <w:color w:val="auto"/>
          <w:sz w:val="32"/>
          <w:szCs w:val="32"/>
          <w:highlight w:val="none"/>
        </w:rPr>
        <w:t>万人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实现</w:t>
      </w:r>
      <w:r>
        <w:rPr>
          <w:rFonts w:hint="eastAsia" w:ascii="仿宋_GB2312" w:hAnsi="仿宋_GB2312" w:eastAsia="仿宋_GB2312" w:cs="仿宋_GB2312"/>
          <w:color w:val="auto"/>
          <w:sz w:val="32"/>
          <w:szCs w:val="32"/>
          <w:highlight w:val="none"/>
        </w:rPr>
        <w:t>新增城镇就业</w:t>
      </w:r>
      <w:r>
        <w:rPr>
          <w:rFonts w:hint="eastAsia" w:ascii="仿宋_GB2312" w:hAnsi="仿宋_GB2312" w:eastAsia="仿宋_GB2312" w:cs="仿宋_GB2312"/>
          <w:color w:val="auto"/>
          <w:sz w:val="32"/>
          <w:szCs w:val="32"/>
          <w:highlight w:val="none"/>
          <w:lang w:val="en-US" w:eastAsia="zh-CN"/>
        </w:rPr>
        <w:t>3401</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完成全年任务的136.06%，</w:t>
      </w:r>
      <w:r>
        <w:rPr>
          <w:rFonts w:hint="eastAsia" w:ascii="仿宋_GB2312" w:hAnsi="仿宋_GB2312" w:eastAsia="仿宋_GB2312" w:cs="仿宋_GB2312"/>
          <w:color w:val="auto"/>
          <w:sz w:val="32"/>
          <w:szCs w:val="32"/>
          <w:highlight w:val="none"/>
        </w:rPr>
        <w:t>开发城乡公益性岗位</w:t>
      </w:r>
      <w:r>
        <w:rPr>
          <w:rFonts w:hint="eastAsia" w:ascii="仿宋_GB2312" w:hAnsi="仿宋_GB2312" w:eastAsia="仿宋_GB2312" w:cs="仿宋_GB2312"/>
          <w:color w:val="auto"/>
          <w:sz w:val="32"/>
          <w:szCs w:val="32"/>
          <w:highlight w:val="none"/>
          <w:lang w:val="en-US" w:eastAsia="zh-CN"/>
        </w:rPr>
        <w:t>3271</w:t>
      </w:r>
      <w:r>
        <w:rPr>
          <w:rFonts w:hint="eastAsia" w:ascii="仿宋_GB2312" w:hAnsi="仿宋_GB2312" w:eastAsia="仿宋_GB2312" w:cs="仿宋_GB2312"/>
          <w:color w:val="auto"/>
          <w:sz w:val="32"/>
          <w:szCs w:val="32"/>
          <w:highlight w:val="none"/>
        </w:rPr>
        <w:t>个。零工公寓</w:t>
      </w:r>
      <w:r>
        <w:rPr>
          <w:rFonts w:hint="eastAsia" w:ascii="仿宋_GB2312" w:hAnsi="仿宋_GB2312" w:eastAsia="仿宋_GB2312" w:cs="仿宋_GB2312"/>
          <w:color w:val="auto"/>
          <w:sz w:val="32"/>
          <w:szCs w:val="32"/>
          <w:highlight w:val="none"/>
          <w:lang w:val="en-US" w:eastAsia="zh-CN"/>
        </w:rPr>
        <w:t>顺利完成改扩建</w:t>
      </w:r>
      <w:r>
        <w:rPr>
          <w:rFonts w:hint="eastAsia" w:ascii="仿宋_GB2312" w:hAnsi="仿宋_GB2312" w:eastAsia="仿宋_GB2312" w:cs="仿宋_GB2312"/>
          <w:color w:val="auto"/>
          <w:sz w:val="32"/>
          <w:szCs w:val="32"/>
          <w:highlight w:val="none"/>
        </w:rPr>
        <w:t>150套</w:t>
      </w:r>
      <w:r>
        <w:rPr>
          <w:rFonts w:hint="eastAsia" w:ascii="仿宋_GB2312" w:hAnsi="仿宋_GB2312" w:eastAsia="仿宋_GB2312" w:cs="仿宋_GB2312"/>
          <w:color w:val="auto"/>
          <w:sz w:val="32"/>
          <w:szCs w:val="32"/>
          <w:highlight w:val="none"/>
          <w:lang w:val="en-US" w:eastAsia="zh-CN"/>
        </w:rPr>
        <w:t>任务目标，零工市场实现规范化提升</w:t>
      </w:r>
      <w:r>
        <w:rPr>
          <w:rFonts w:hint="eastAsia" w:ascii="仿宋_GB2312" w:hAnsi="仿宋_GB2312" w:eastAsia="仿宋_GB2312" w:cs="仿宋_GB2312"/>
          <w:bCs/>
          <w:color w:val="auto"/>
          <w:sz w:val="32"/>
          <w:szCs w:val="32"/>
          <w:highlight w:val="none"/>
        </w:rPr>
        <w:t>。强化服务保障，</w:t>
      </w:r>
      <w:r>
        <w:rPr>
          <w:rFonts w:hint="eastAsia" w:ascii="仿宋_GB2312" w:hAnsi="仿宋_GB2312" w:eastAsia="仿宋_GB2312" w:cs="仿宋_GB2312"/>
          <w:bCs/>
          <w:color w:val="auto"/>
          <w:kern w:val="0"/>
          <w:sz w:val="32"/>
          <w:szCs w:val="32"/>
          <w:highlight w:val="none"/>
        </w:rPr>
        <w:t>打造区养老服务中心</w:t>
      </w:r>
      <w:r>
        <w:rPr>
          <w:rFonts w:hint="eastAsia" w:ascii="仿宋_GB2312" w:hAnsi="仿宋_GB2312" w:eastAsia="仿宋_GB2312" w:cs="仿宋_GB2312"/>
          <w:bCs/>
          <w:color w:val="auto"/>
          <w:kern w:val="0"/>
          <w:sz w:val="32"/>
          <w:szCs w:val="32"/>
          <w:highlight w:val="none"/>
          <w:lang w:val="en-US" w:eastAsia="zh-CN"/>
        </w:rPr>
        <w:t>等</w:t>
      </w:r>
      <w:r>
        <w:rPr>
          <w:rFonts w:hint="eastAsia" w:ascii="仿宋_GB2312" w:hAnsi="仿宋_GB2312" w:eastAsia="仿宋_GB2312" w:cs="仿宋_GB2312"/>
          <w:bCs/>
          <w:color w:val="auto"/>
          <w:kern w:val="0"/>
          <w:sz w:val="32"/>
          <w:szCs w:val="32"/>
          <w:highlight w:val="none"/>
        </w:rPr>
        <w:t>3处“智慧养老”示范点，为425名经济困难失能老</w:t>
      </w:r>
      <w:r>
        <w:rPr>
          <w:rFonts w:hint="eastAsia" w:ascii="仿宋_GB2312" w:hAnsi="仿宋_GB2312" w:eastAsia="仿宋_GB2312" w:cs="仿宋_GB2312"/>
          <w:bCs/>
          <w:color w:val="auto"/>
          <w:sz w:val="32"/>
          <w:szCs w:val="32"/>
          <w:highlight w:val="none"/>
        </w:rPr>
        <w:t>年人提供居家上门服务和机构养老服务</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auto"/>
          <w:sz w:val="32"/>
          <w:szCs w:val="32"/>
          <w:highlight w:val="none"/>
        </w:rPr>
        <w:t>低保、特困供养、孤困儿童等社会救助标准提高5%以上，发放各类救助金</w:t>
      </w:r>
      <w:r>
        <w:rPr>
          <w:rFonts w:hint="eastAsia" w:ascii="仿宋_GB2312" w:hAnsi="仿宋_GB2312" w:eastAsia="仿宋_GB2312" w:cs="仿宋_GB2312"/>
          <w:bCs/>
          <w:color w:val="auto"/>
          <w:sz w:val="32"/>
          <w:szCs w:val="32"/>
          <w:highlight w:val="none"/>
          <w:lang w:val="en-US" w:eastAsia="zh-CN"/>
        </w:rPr>
        <w:t>9850</w:t>
      </w:r>
      <w:r>
        <w:rPr>
          <w:rFonts w:hint="eastAsia" w:ascii="仿宋_GB2312" w:hAnsi="仿宋_GB2312" w:eastAsia="仿宋_GB2312" w:cs="仿宋_GB2312"/>
          <w:bCs/>
          <w:color w:val="auto"/>
          <w:sz w:val="32"/>
          <w:szCs w:val="32"/>
          <w:highlight w:val="none"/>
        </w:rPr>
        <w:t>余万元</w:t>
      </w:r>
      <w:r>
        <w:rPr>
          <w:rFonts w:hint="eastAsia" w:ascii="仿宋_GB2312" w:hAnsi="仿宋_GB2312" w:eastAsia="仿宋_GB2312" w:cs="仿宋_GB2312"/>
          <w:color w:val="auto"/>
          <w:sz w:val="32"/>
          <w:szCs w:val="32"/>
          <w:highlight w:val="none"/>
        </w:rPr>
        <w:t>。保障农民工工资支付综合考核位列全市第一。</w:t>
      </w:r>
      <w:r>
        <w:rPr>
          <w:rFonts w:hint="eastAsia" w:ascii="仿宋_GB2312" w:hAnsi="仿宋_GB2312" w:eastAsia="仿宋_GB2312" w:cs="仿宋_GB2312"/>
          <w:color w:val="auto"/>
          <w:sz w:val="32"/>
          <w:szCs w:val="32"/>
          <w:highlight w:val="none"/>
          <w:lang w:val="en-US" w:eastAsia="zh-CN"/>
        </w:rPr>
        <w:t>为584名残疾人进行辅具适配，完成470名重度残疾人家庭无障碍设施改造工作。</w:t>
      </w:r>
      <w:r>
        <w:rPr>
          <w:rFonts w:hint="eastAsia" w:ascii="仿宋_GB2312" w:hAnsi="仿宋_GB2312" w:eastAsia="仿宋_GB2312" w:cs="仿宋_GB2312"/>
          <w:b/>
          <w:color w:val="auto"/>
          <w:sz w:val="32"/>
          <w:szCs w:val="32"/>
          <w:highlight w:val="none"/>
        </w:rPr>
        <w:t>社会治理持续加强。</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五经普</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工作高质量推进，清查市场主体53315家。坚持和发展好新时代“枫桥经验”，超前化解矛盾纠纷，实现初信初访一次性化解率98.89%。</w:t>
      </w:r>
      <w:r>
        <w:rPr>
          <w:rFonts w:hint="eastAsia" w:ascii="仿宋_GB2312" w:hAnsi="仿宋_GB2312" w:eastAsia="仿宋_GB2312" w:cs="仿宋_GB2312"/>
          <w:color w:val="auto"/>
          <w:sz w:val="32"/>
          <w:szCs w:val="32"/>
          <w:highlight w:val="none"/>
          <w:shd w:val="clear" w:color="auto" w:fill="FFFFFF"/>
        </w:rPr>
        <w:t>完善应急物资储备建设，建成5000余平</w:t>
      </w:r>
      <w:r>
        <w:rPr>
          <w:rFonts w:hint="eastAsia" w:ascii="仿宋_GB2312" w:hAnsi="仿宋_GB2312" w:eastAsia="仿宋_GB2312" w:cs="仿宋_GB2312"/>
          <w:color w:val="auto"/>
          <w:sz w:val="32"/>
          <w:szCs w:val="32"/>
          <w:highlight w:val="none"/>
          <w:shd w:val="clear" w:color="auto" w:fill="FFFFFF"/>
          <w:lang w:eastAsia="zh-CN"/>
        </w:rPr>
        <w:t>方米</w:t>
      </w:r>
      <w:r>
        <w:rPr>
          <w:rFonts w:hint="eastAsia" w:ascii="仿宋_GB2312" w:hAnsi="仿宋_GB2312" w:eastAsia="仿宋_GB2312" w:cs="仿宋_GB2312"/>
          <w:color w:val="auto"/>
          <w:sz w:val="32"/>
          <w:szCs w:val="32"/>
          <w:highlight w:val="none"/>
          <w:shd w:val="clear" w:color="auto" w:fill="FFFFFF"/>
        </w:rPr>
        <w:t>物资储备库。</w:t>
      </w:r>
      <w:r>
        <w:rPr>
          <w:rFonts w:hint="eastAsia" w:ascii="仿宋_GB2312" w:eastAsia="仿宋_GB2312"/>
          <w:color w:val="auto"/>
          <w:sz w:val="32"/>
          <w:szCs w:val="32"/>
        </w:rPr>
        <w:t>开展“保民安悦民心”主题行动，连续1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年现行命案全破，</w:t>
      </w:r>
      <w:r>
        <w:rPr>
          <w:rFonts w:hint="eastAsia" w:ascii="仿宋_GB2312" w:eastAsia="仿宋_GB2312"/>
          <w:color w:val="auto"/>
          <w:sz w:val="32"/>
          <w:szCs w:val="32"/>
          <w:lang w:val="en-US" w:eastAsia="zh-CN"/>
        </w:rPr>
        <w:t>常态化扫黑除恶斗争、</w:t>
      </w:r>
      <w:r>
        <w:rPr>
          <w:rFonts w:hint="eastAsia" w:ascii="仿宋_GB2312" w:eastAsia="仿宋_GB2312"/>
          <w:color w:val="auto"/>
          <w:sz w:val="32"/>
          <w:szCs w:val="32"/>
        </w:rPr>
        <w:t>打击治理</w:t>
      </w:r>
      <w:r>
        <w:rPr>
          <w:rFonts w:hint="eastAsia" w:ascii="仿宋_GB2312" w:eastAsia="仿宋_GB2312"/>
          <w:color w:val="auto"/>
          <w:sz w:val="32"/>
          <w:szCs w:val="32"/>
          <w:lang w:val="en-US" w:eastAsia="zh-CN"/>
        </w:rPr>
        <w:t>电信</w:t>
      </w:r>
      <w:r>
        <w:rPr>
          <w:rFonts w:hint="eastAsia" w:ascii="仿宋_GB2312" w:eastAsia="仿宋_GB2312"/>
          <w:color w:val="auto"/>
          <w:sz w:val="32"/>
          <w:szCs w:val="32"/>
        </w:rPr>
        <w:t>诈骗</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信访积案化解等各项工作</w:t>
      </w:r>
      <w:r>
        <w:rPr>
          <w:rFonts w:hint="eastAsia" w:ascii="仿宋_GB2312" w:eastAsia="仿宋_GB2312"/>
          <w:color w:val="auto"/>
          <w:sz w:val="32"/>
          <w:szCs w:val="32"/>
          <w:lang w:val="en-US" w:eastAsia="zh-CN"/>
        </w:rPr>
        <w:t>成效</w:t>
      </w:r>
      <w:r>
        <w:rPr>
          <w:rFonts w:hint="eastAsia" w:ascii="仿宋_GB2312" w:eastAsia="仿宋_GB2312"/>
          <w:color w:val="auto"/>
          <w:sz w:val="32"/>
          <w:szCs w:val="32"/>
        </w:rPr>
        <w:t>明显，社会治安秩序持续稳定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创新开展“审计式”监督检查服务工作，及时发现和消除安全隐患。开展“放心菜篮子”工程，对食品安全、医疗器械等方面开展常态化监督抽检，守牢</w:t>
      </w:r>
      <w:r>
        <w:rPr>
          <w:rFonts w:hint="eastAsia" w:ascii="仿宋_GB2312" w:hAnsi="仿宋_GB2312" w:eastAsia="仿宋_GB2312" w:cs="仿宋_GB2312"/>
          <w:color w:val="auto"/>
          <w:sz w:val="32"/>
          <w:szCs w:val="32"/>
          <w:highlight w:val="none"/>
        </w:rPr>
        <w:t>全区安全生产</w:t>
      </w:r>
      <w:r>
        <w:rPr>
          <w:rFonts w:hint="eastAsia" w:ascii="仿宋_GB2312" w:hAnsi="仿宋_GB2312" w:eastAsia="仿宋_GB2312" w:cs="仿宋_GB2312"/>
          <w:color w:val="auto"/>
          <w:sz w:val="32"/>
          <w:szCs w:val="32"/>
          <w:highlight w:val="none"/>
          <w:lang w:val="en-US" w:eastAsia="zh-CN"/>
        </w:rPr>
        <w:t>底线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社会事业协调发展。</w:t>
      </w:r>
      <w:r>
        <w:rPr>
          <w:rFonts w:hint="eastAsia" w:ascii="仿宋_GB2312" w:hAnsi="仿宋_GB2312" w:eastAsia="仿宋_GB2312" w:cs="仿宋_GB2312"/>
          <w:b w:val="0"/>
          <w:bCs w:val="0"/>
          <w:color w:val="auto"/>
          <w:sz w:val="32"/>
          <w:szCs w:val="32"/>
          <w:highlight w:val="none"/>
          <w:lang w:val="en-US" w:eastAsia="zh-CN"/>
        </w:rPr>
        <w:t>第二实验中学迁建项目顺利完成并启动招生计划，龙域公馆配套幼儿园项目建设完成，增加学位2280个。实施学前教育“双领”“济阳名师”培育等工程，选树市级荣誉教师20余人，高考上线率实现再提升。擦亮“韵动黄河·善美济阳”体育健身品牌，成功承办山东沿黄九市铁人三项赛。区少儿体校入选国家重点高水平体育后备人才基地。区精神卫生中心病房楼新建项目和区人民医院医养楼建设项目顺利建成。</w:t>
      </w:r>
      <w:r>
        <w:rPr>
          <w:rFonts w:hint="eastAsia" w:ascii="仿宋_GB2312" w:hAnsi="仿宋_GB2312" w:eastAsia="仿宋_GB2312" w:cs="仿宋_GB2312"/>
          <w:color w:val="auto"/>
          <w:sz w:val="32"/>
          <w:szCs w:val="32"/>
          <w:lang w:val="en-US" w:eastAsia="zh-CN"/>
        </w:rPr>
        <w:t>打造提升城乡书房9处，新建24小时济阳城市书房移动终端4处</w:t>
      </w:r>
      <w:r>
        <w:rPr>
          <w:rFonts w:hint="eastAsia" w:ascii="仿宋_GB2312" w:hAnsi="仿宋_GB2312" w:eastAsia="仿宋_GB2312" w:cs="仿宋_GB2312"/>
          <w:b w:val="0"/>
          <w:bCs w:val="0"/>
          <w:color w:val="auto"/>
          <w:sz w:val="32"/>
          <w:szCs w:val="32"/>
          <w:highlight w:val="none"/>
          <w:lang w:val="en-US" w:eastAsia="zh-CN"/>
        </w:rPr>
        <w:t>，《九曲黄河万里流：历代黄河舆图与“济阳黄河五彩陶”特展》入选全市黄河流域生态保护和高质量发展重点活动。区图书馆荣获国家“一级图书馆”，三官庙汉墓展馆和卢氏旧居竣工，山东手造济北展示体验中心获省级认证。对口支援与东西部协作工作持续推进。民生实事全面完成，妇女儿童、民族宗教、双拥共建、地震气象、档案史志、红十字、人民防空、应急管理等工作均取得了新成绩。</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过去的一年，全区民生福祉持续改善，经济恢复总体向好</w:t>
      </w:r>
      <w:r>
        <w:rPr>
          <w:rFonts w:hint="eastAsia" w:ascii="仿宋_GB2312" w:hAnsi="仿宋_GB2312" w:eastAsia="仿宋_GB2312" w:cs="仿宋_GB2312"/>
          <w:color w:val="auto"/>
          <w:sz w:val="32"/>
          <w:szCs w:val="32"/>
          <w:highlight w:val="none"/>
          <w:shd w:val="clear" w:color="auto" w:fill="FFFFFF"/>
        </w:rPr>
        <w:t>。但我们也清醒认识到，全区经济社会发展仍面临着一些问题：</w:t>
      </w:r>
      <w:r>
        <w:rPr>
          <w:rFonts w:hint="eastAsia" w:ascii="仿宋_GB2312" w:hAnsi="仿宋_GB2312" w:eastAsia="仿宋_GB2312" w:cs="仿宋_GB2312"/>
          <w:color w:val="auto"/>
          <w:sz w:val="32"/>
          <w:szCs w:val="32"/>
          <w:highlight w:val="none"/>
          <w:shd w:val="clear" w:color="auto" w:fill="FFFFFF"/>
          <w:lang w:val="en-US" w:eastAsia="zh-CN"/>
        </w:rPr>
        <w:t>经济恢复需要时间，经济增长堵点仍待疏通；项目谋划多，但质量不高，落地率较低；城市更新速度仍需提升，城市管理智慧化水平较低；财政收支矛盾仍然存在，重点领域支出刚性不断增强。对于这些问题，我们要采取有效措施努力加以解决</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黑体" w:hAnsi="宋体" w:eastAsia="黑体" w:cs="黑体"/>
          <w:color w:val="auto"/>
          <w:sz w:val="32"/>
          <w:szCs w:val="32"/>
          <w:highlight w:val="none"/>
          <w:shd w:val="clear" w:color="auto" w:fill="FFFFFF"/>
        </w:rPr>
      </w:pPr>
      <w:r>
        <w:rPr>
          <w:rFonts w:ascii="黑体" w:hAnsi="宋体" w:eastAsia="黑体" w:cs="黑体"/>
          <w:color w:val="auto"/>
          <w:sz w:val="32"/>
          <w:szCs w:val="32"/>
          <w:highlight w:val="none"/>
          <w:shd w:val="clear" w:color="auto" w:fill="FFFFFF"/>
        </w:rPr>
        <w:t>二、</w:t>
      </w:r>
      <w:r>
        <w:rPr>
          <w:rFonts w:hint="eastAsia" w:ascii="黑体" w:hAnsi="宋体" w:eastAsia="黑体" w:cs="黑体"/>
          <w:color w:val="auto"/>
          <w:sz w:val="32"/>
          <w:szCs w:val="32"/>
          <w:highlight w:val="none"/>
          <w:shd w:val="clear" w:color="auto" w:fill="FFFFFF"/>
        </w:rPr>
        <w:t>2024年国民经济和社会发展主要目标和重点任务</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仿宋_GB2312" w:eastAsia="仿宋_GB2312" w:cs="仿宋_GB2312"/>
          <w:b/>
          <w:bCs/>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rPr>
        <w:t>2024年是全面贯彻落实党的二十大精神的重要之年，是实施“十四五”规划中期评估后的关键一年，也是加快建设高质量北部中心城区的重要一年。今年工作的总体要求是：</w:t>
      </w:r>
      <w:r>
        <w:rPr>
          <w:rFonts w:hint="eastAsia" w:ascii="黑体" w:hAnsi="黑体" w:eastAsia="黑体" w:cs="黑体"/>
          <w:color w:val="auto"/>
          <w:sz w:val="32"/>
          <w:szCs w:val="32"/>
          <w:highlight w:val="none"/>
        </w:rPr>
        <w:t>坚持以习近平新时代中国特色社会主义思想为指导，全面贯彻落实党的二十大及中央经济工作会议精神，坚持稳中求进工作总基调，完整、准确、全面贯彻新发展理念，积极回应人民群众对美好生活的新期盼，统筹扩大内需和深化供给侧结构性改革，统筹新型城镇化和乡村全面振兴，统筹高质量发展和高水平安全，认真落实</w:t>
      </w:r>
      <w:r>
        <w:rPr>
          <w:rFonts w:hint="eastAsia" w:ascii="黑体" w:hAnsi="黑体" w:eastAsia="黑体" w:cs="黑体"/>
          <w:color w:val="auto"/>
          <w:sz w:val="32"/>
          <w:szCs w:val="32"/>
          <w:highlight w:val="none"/>
          <w:lang w:val="en-US" w:eastAsia="zh-CN"/>
        </w:rPr>
        <w:t>党</w:t>
      </w:r>
      <w:r>
        <w:rPr>
          <w:rFonts w:hint="eastAsia" w:ascii="黑体" w:hAnsi="黑体" w:eastAsia="黑体" w:cs="黑体"/>
          <w:color w:val="auto"/>
          <w:sz w:val="32"/>
          <w:szCs w:val="32"/>
          <w:highlight w:val="none"/>
        </w:rPr>
        <w:t>中央决策部署和省市工作要求，锚定区第一次党代会确定的“12345”发展思路，扎实开展“十大攻坚行动”，着力拉长板、补短板、固底板，奋力谱写高质量北部中心城区建设新篇章。</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按照上述要求，2024年经济社会发展主要预期目标为：</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sz w:val="32"/>
          <w:szCs w:val="32"/>
          <w:highlight w:val="none"/>
          <w:shd w:val="clear" w:color="auto" w:fill="FFFFFF"/>
        </w:rPr>
        <w:t>——地区生产总值增长7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shd w:val="clear" w:color="auto" w:fill="FFFFFF"/>
        </w:rPr>
        <w:t>，其中规模以上工业增加值增长9</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color w:val="auto"/>
          <w:sz w:val="32"/>
          <w:szCs w:val="32"/>
          <w:highlight w:val="none"/>
        </w:rPr>
      </w:pPr>
      <w:r>
        <w:rPr>
          <w:rFonts w:hint="eastAsia" w:ascii="仿宋_GB2312" w:hAnsi="宋体" w:eastAsia="仿宋_GB2312" w:cs="仿宋_GB2312"/>
          <w:color w:val="auto"/>
          <w:kern w:val="0"/>
          <w:sz w:val="32"/>
          <w:szCs w:val="32"/>
          <w:highlight w:val="none"/>
          <w:lang w:bidi="ar"/>
        </w:rPr>
        <w:t>——</w:t>
      </w:r>
      <w:r>
        <w:rPr>
          <w:rFonts w:ascii="仿宋_GB2312" w:hAnsi="宋体" w:eastAsia="仿宋_GB2312" w:cs="仿宋_GB2312"/>
          <w:color w:val="auto"/>
          <w:kern w:val="0"/>
          <w:sz w:val="32"/>
          <w:szCs w:val="32"/>
          <w:highlight w:val="none"/>
          <w:lang w:bidi="ar"/>
        </w:rPr>
        <w:t>固定资产投资增长</w:t>
      </w:r>
      <w:r>
        <w:rPr>
          <w:rFonts w:hint="eastAsia" w:ascii="仿宋_GB2312" w:hAnsi="仿宋_GB2312" w:eastAsia="仿宋_GB2312" w:cs="仿宋_GB2312"/>
          <w:color w:val="auto"/>
          <w:sz w:val="32"/>
          <w:szCs w:val="32"/>
          <w:highlight w:val="none"/>
          <w:shd w:val="clear" w:color="auto" w:fill="FFFFFF"/>
          <w:lang w:val="en-US" w:eastAsia="zh-CN"/>
        </w:rPr>
        <w:t>7.5</w:t>
      </w:r>
      <w:r>
        <w:rPr>
          <w:rFonts w:hint="eastAsia" w:ascii="仿宋_GB2312" w:hAnsi="仿宋_GB2312" w:eastAsia="仿宋_GB2312" w:cs="仿宋_GB2312"/>
          <w:color w:val="auto"/>
          <w:sz w:val="32"/>
          <w:szCs w:val="32"/>
          <w:highlight w:val="none"/>
          <w:shd w:val="clear" w:color="auto" w:fill="FFFFFF"/>
        </w:rPr>
        <w:t>%</w:t>
      </w:r>
      <w:r>
        <w:rPr>
          <w:rFonts w:ascii="仿宋_GB2312" w:hAnsi="宋体" w:eastAsia="仿宋_GB2312" w:cs="仿宋_GB2312"/>
          <w:color w:val="auto"/>
          <w:kern w:val="0"/>
          <w:sz w:val="32"/>
          <w:szCs w:val="32"/>
          <w:highlight w:val="none"/>
          <w:lang w:bidi="ar"/>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w:t>
      </w:r>
      <w:r>
        <w:rPr>
          <w:rFonts w:ascii="仿宋_GB2312" w:hAnsi="宋体" w:eastAsia="仿宋_GB2312" w:cs="仿宋_GB2312"/>
          <w:color w:val="auto"/>
          <w:kern w:val="0"/>
          <w:sz w:val="32"/>
          <w:szCs w:val="32"/>
          <w:highlight w:val="none"/>
          <w:lang w:bidi="ar"/>
        </w:rPr>
        <w:t>社会消费品零售总额增长</w:t>
      </w:r>
      <w:r>
        <w:rPr>
          <w:rFonts w:hint="eastAsia" w:ascii="仿宋_GB2312" w:hAnsi="仿宋_GB2312" w:eastAsia="仿宋_GB2312" w:cs="仿宋_GB2312"/>
          <w:color w:val="auto"/>
          <w:sz w:val="32"/>
          <w:szCs w:val="32"/>
          <w:highlight w:val="none"/>
          <w:shd w:val="clear" w:color="auto" w:fill="FFFFFF"/>
        </w:rPr>
        <w:t>6</w:t>
      </w:r>
      <w:r>
        <w:rPr>
          <w:rFonts w:hint="eastAsia" w:ascii="仿宋_GB2312" w:hAnsi="仿宋_GB2312" w:eastAsia="仿宋_GB2312" w:cs="仿宋_GB2312"/>
          <w:color w:val="auto"/>
          <w:sz w:val="32"/>
          <w:szCs w:val="32"/>
          <w:highlight w:val="none"/>
        </w:rPr>
        <w:t>%</w:t>
      </w:r>
      <w:r>
        <w:rPr>
          <w:rFonts w:ascii="仿宋_GB2312" w:hAnsi="宋体" w:eastAsia="仿宋_GB2312" w:cs="仿宋_GB2312"/>
          <w:color w:val="auto"/>
          <w:kern w:val="0"/>
          <w:sz w:val="32"/>
          <w:szCs w:val="32"/>
          <w:highlight w:val="none"/>
          <w:lang w:bidi="ar"/>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——一般公共预算收入增长</w:t>
      </w:r>
      <w:r>
        <w:rPr>
          <w:rFonts w:hint="eastAsia" w:ascii="仿宋_GB2312" w:hAnsi="仿宋_GB2312" w:eastAsia="仿宋_GB2312" w:cs="仿宋_GB2312"/>
          <w:color w:val="auto"/>
          <w:sz w:val="32"/>
          <w:szCs w:val="32"/>
          <w:highlight w:val="none"/>
          <w:shd w:val="clear" w:color="auto" w:fill="FFFFFF"/>
          <w:lang w:val="en-US" w:eastAsia="zh-CN"/>
        </w:rPr>
        <w:t>7</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宋体" w:eastAsia="仿宋_GB2312" w:cs="仿宋_GB2312"/>
          <w:color w:val="auto"/>
          <w:kern w:val="0"/>
          <w:sz w:val="32"/>
          <w:szCs w:val="32"/>
          <w:highlight w:val="none"/>
          <w:lang w:bidi="ar"/>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——进出口总额增长</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宋体" w:eastAsia="仿宋_GB2312" w:cs="仿宋_GB2312"/>
          <w:color w:val="auto"/>
          <w:kern w:val="0"/>
          <w:sz w:val="32"/>
          <w:szCs w:val="32"/>
          <w:highlight w:val="none"/>
          <w:lang w:bidi="ar"/>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——实际使用外资</w:t>
      </w:r>
      <w:r>
        <w:rPr>
          <w:rFonts w:hint="eastAsia" w:ascii="仿宋_GB2312" w:hAnsi="宋体" w:eastAsia="仿宋_GB2312" w:cs="仿宋_GB2312"/>
          <w:color w:val="auto"/>
          <w:kern w:val="0"/>
          <w:sz w:val="32"/>
          <w:szCs w:val="32"/>
          <w:highlight w:val="none"/>
          <w:lang w:val="en-US" w:eastAsia="zh-CN" w:bidi="ar"/>
        </w:rPr>
        <w:t>8000万美元</w:t>
      </w:r>
      <w:r>
        <w:rPr>
          <w:rFonts w:hint="eastAsia" w:ascii="仿宋_GB2312" w:hAnsi="宋体" w:eastAsia="仿宋_GB2312" w:cs="仿宋_GB2312"/>
          <w:color w:val="auto"/>
          <w:kern w:val="0"/>
          <w:sz w:val="32"/>
          <w:szCs w:val="32"/>
          <w:highlight w:val="none"/>
          <w:lang w:bidi="ar"/>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——粮食总产量</w:t>
      </w:r>
      <w:r>
        <w:rPr>
          <w:rFonts w:hint="eastAsia" w:ascii="仿宋_GB2312" w:hAnsi="仿宋_GB2312" w:eastAsia="仿宋_GB2312" w:cs="仿宋_GB2312"/>
          <w:color w:val="auto"/>
          <w:sz w:val="32"/>
          <w:szCs w:val="32"/>
          <w:highlight w:val="none"/>
          <w:shd w:val="clear" w:color="auto" w:fill="FFFFFF"/>
          <w:lang w:val="en-US" w:eastAsia="zh-CN"/>
        </w:rPr>
        <w:t>44.6</w:t>
      </w:r>
      <w:r>
        <w:rPr>
          <w:rFonts w:hint="eastAsia" w:ascii="仿宋_GB2312" w:hAnsi="宋体" w:eastAsia="仿宋_GB2312" w:cs="仿宋_GB2312"/>
          <w:color w:val="auto"/>
          <w:kern w:val="0"/>
          <w:sz w:val="32"/>
          <w:szCs w:val="32"/>
          <w:highlight w:val="none"/>
          <w:lang w:bidi="ar"/>
        </w:rPr>
        <w:t>万吨；</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——城镇居民人均可支配收入增长</w:t>
      </w:r>
      <w:r>
        <w:rPr>
          <w:rFonts w:hint="eastAsia" w:ascii="仿宋_GB2312" w:hAnsi="仿宋_GB2312" w:eastAsia="仿宋_GB2312" w:cs="仿宋_GB2312"/>
          <w:color w:val="auto"/>
          <w:sz w:val="32"/>
          <w:szCs w:val="32"/>
          <w:highlight w:val="none"/>
          <w:shd w:val="clear" w:color="auto" w:fill="FFFFFF"/>
        </w:rPr>
        <w:t>5.5</w:t>
      </w:r>
      <w:r>
        <w:rPr>
          <w:rFonts w:hint="eastAsia" w:ascii="仿宋_GB2312" w:hAnsi="仿宋_GB2312" w:eastAsia="仿宋_GB2312" w:cs="仿宋_GB2312"/>
          <w:color w:val="auto"/>
          <w:sz w:val="32"/>
          <w:szCs w:val="32"/>
          <w:highlight w:val="none"/>
        </w:rPr>
        <w:t>%</w:t>
      </w:r>
      <w:r>
        <w:rPr>
          <w:rFonts w:hint="eastAsia" w:ascii="仿宋_GB2312" w:hAnsi="宋体" w:eastAsia="仿宋_GB2312" w:cs="仿宋_GB2312"/>
          <w:color w:val="auto"/>
          <w:kern w:val="0"/>
          <w:sz w:val="32"/>
          <w:szCs w:val="32"/>
          <w:highlight w:val="none"/>
          <w:lang w:bidi="ar"/>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——农村居民人均可支配收入增长</w:t>
      </w:r>
      <w:r>
        <w:rPr>
          <w:rFonts w:hint="eastAsia" w:ascii="仿宋_GB2312" w:hAnsi="仿宋_GB2312" w:eastAsia="仿宋_GB2312" w:cs="仿宋_GB2312"/>
          <w:color w:val="auto"/>
          <w:sz w:val="32"/>
          <w:szCs w:val="32"/>
          <w:highlight w:val="none"/>
          <w:shd w:val="clear" w:color="auto" w:fill="FFFFFF"/>
          <w:lang w:val="en-US" w:eastAsia="zh-CN"/>
        </w:rPr>
        <w:t>6</w:t>
      </w:r>
      <w:r>
        <w:rPr>
          <w:rFonts w:hint="eastAsia" w:ascii="仿宋_GB2312" w:hAnsi="仿宋_GB2312" w:eastAsia="仿宋_GB2312" w:cs="仿宋_GB2312"/>
          <w:color w:val="auto"/>
          <w:sz w:val="32"/>
          <w:szCs w:val="32"/>
          <w:highlight w:val="none"/>
          <w:shd w:val="clear" w:color="auto" w:fill="FFFFFF"/>
        </w:rPr>
        <w:t>.5</w:t>
      </w:r>
      <w:r>
        <w:rPr>
          <w:rFonts w:hint="eastAsia" w:ascii="仿宋_GB2312" w:hAnsi="仿宋_GB2312" w:eastAsia="仿宋_GB2312" w:cs="仿宋_GB2312"/>
          <w:color w:val="auto"/>
          <w:sz w:val="32"/>
          <w:szCs w:val="32"/>
          <w:highlight w:val="none"/>
        </w:rPr>
        <w:t>%</w:t>
      </w:r>
      <w:r>
        <w:rPr>
          <w:rFonts w:hint="eastAsia" w:ascii="仿宋_GB2312" w:hAnsi="宋体" w:eastAsia="仿宋_GB2312" w:cs="仿宋_GB2312"/>
          <w:color w:val="auto"/>
          <w:kern w:val="0"/>
          <w:sz w:val="32"/>
          <w:szCs w:val="32"/>
          <w:highlight w:val="none"/>
          <w:lang w:bidi="ar"/>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——新增城镇就业</w:t>
      </w:r>
      <w:r>
        <w:rPr>
          <w:rFonts w:hint="eastAsia" w:ascii="仿宋_GB2312" w:hAnsi="仿宋_GB2312" w:eastAsia="仿宋_GB2312" w:cs="仿宋_GB2312"/>
          <w:color w:val="auto"/>
          <w:sz w:val="32"/>
          <w:szCs w:val="32"/>
          <w:highlight w:val="none"/>
          <w:shd w:val="clear" w:color="auto" w:fill="FFFFFF"/>
        </w:rPr>
        <w:t>0.2</w:t>
      </w:r>
      <w:r>
        <w:rPr>
          <w:rFonts w:hint="eastAsia" w:ascii="仿宋_GB2312" w:hAnsi="仿宋_GB2312" w:eastAsia="仿宋_GB2312" w:cs="仿宋_GB2312"/>
          <w:color w:val="auto"/>
          <w:sz w:val="32"/>
          <w:szCs w:val="32"/>
          <w:highlight w:val="none"/>
          <w:shd w:val="clear" w:color="auto" w:fill="FFFFFF"/>
          <w:lang w:val="en-US" w:eastAsia="zh-CN"/>
        </w:rPr>
        <w:t>4</w:t>
      </w:r>
      <w:r>
        <w:rPr>
          <w:rFonts w:hint="eastAsia" w:ascii="仿宋_GB2312" w:hAnsi="宋体" w:eastAsia="仿宋_GB2312" w:cs="仿宋_GB2312"/>
          <w:color w:val="auto"/>
          <w:kern w:val="0"/>
          <w:sz w:val="32"/>
          <w:szCs w:val="32"/>
          <w:highlight w:val="none"/>
          <w:lang w:bidi="ar"/>
        </w:rPr>
        <w:t>万人；</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完成市下达的节能减排等各项约束性指标。</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仿宋_GB2312" w:hAnsi="宋体" w:eastAsia="仿宋_GB2312" w:cs="仿宋_GB2312"/>
          <w:color w:val="auto"/>
          <w:kern w:val="0"/>
          <w:sz w:val="32"/>
          <w:szCs w:val="32"/>
          <w:highlight w:val="none"/>
          <w:lang w:bidi="ar"/>
        </w:rPr>
      </w:pPr>
      <w:r>
        <w:rPr>
          <w:rFonts w:hint="eastAsia" w:ascii="仿宋_GB2312" w:hAnsi="宋体" w:eastAsia="仿宋_GB2312" w:cs="仿宋_GB2312"/>
          <w:color w:val="auto"/>
          <w:kern w:val="0"/>
          <w:sz w:val="32"/>
          <w:szCs w:val="32"/>
          <w:highlight w:val="none"/>
          <w:lang w:bidi="ar"/>
        </w:rPr>
        <w:t>在上述指标中，除单位地区生产总值能耗降低为约束性指标外，其他为预期性和导向性指标。</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ascii="黑体" w:hAnsi="宋体" w:eastAsia="黑体" w:cs="黑体"/>
          <w:color w:val="auto"/>
          <w:sz w:val="32"/>
          <w:szCs w:val="32"/>
          <w:highlight w:val="none"/>
          <w:shd w:val="clear" w:color="auto" w:fill="FFFFFF"/>
        </w:rPr>
      </w:pPr>
      <w:r>
        <w:rPr>
          <w:rFonts w:ascii="黑体" w:hAnsi="宋体" w:eastAsia="黑体" w:cs="黑体"/>
          <w:color w:val="auto"/>
          <w:sz w:val="32"/>
          <w:szCs w:val="32"/>
          <w:highlight w:val="none"/>
          <w:shd w:val="clear" w:color="auto" w:fill="FFFFFF"/>
        </w:rPr>
        <w:t>三、202</w:t>
      </w:r>
      <w:r>
        <w:rPr>
          <w:rFonts w:hint="eastAsia" w:ascii="黑体" w:hAnsi="宋体" w:eastAsia="黑体" w:cs="黑体"/>
          <w:color w:val="auto"/>
          <w:sz w:val="32"/>
          <w:szCs w:val="32"/>
          <w:highlight w:val="none"/>
          <w:shd w:val="clear" w:color="auto" w:fill="FFFFFF"/>
        </w:rPr>
        <w:t>4</w:t>
      </w:r>
      <w:r>
        <w:rPr>
          <w:rFonts w:ascii="黑体" w:hAnsi="宋体" w:eastAsia="黑体" w:cs="黑体"/>
          <w:color w:val="auto"/>
          <w:sz w:val="32"/>
          <w:szCs w:val="32"/>
          <w:highlight w:val="none"/>
          <w:shd w:val="clear" w:color="auto" w:fill="FFFFFF"/>
        </w:rPr>
        <w:t>年经济社会发展主要措施</w:t>
      </w:r>
    </w:p>
    <w:p>
      <w:pPr>
        <w:keepNext w:val="0"/>
        <w:keepLines w:val="0"/>
        <w:pageBreakBefore w:val="0"/>
        <w:widowControl w:val="0"/>
        <w:kinsoku/>
        <w:wordWrap/>
        <w:overflowPunct w:val="0"/>
        <w:topLinePunct w:val="0"/>
        <w:autoSpaceDE/>
        <w:autoSpaceDN/>
        <w:bidi w:val="0"/>
        <w:spacing w:line="540" w:lineRule="exact"/>
        <w:ind w:firstLine="640" w:firstLineChars="200"/>
        <w:jc w:val="both"/>
        <w:rPr>
          <w:rFonts w:hint="eastAsia" w:ascii="楷体_GB2312" w:hAnsi="楷体_GB2312" w:eastAsia="楷体_GB2312" w:cs="楷体_GB2312"/>
          <w:color w:val="auto"/>
          <w:sz w:val="32"/>
          <w:szCs w:val="32"/>
          <w:highlight w:val="none"/>
          <w:shd w:val="clear" w:color="auto" w:fill="FFFFFF"/>
        </w:rPr>
      </w:pPr>
      <w:r>
        <w:rPr>
          <w:rFonts w:hint="eastAsia" w:ascii="楷体_GB2312" w:hAnsi="楷体_GB2312" w:eastAsia="楷体_GB2312" w:cs="楷体_GB2312"/>
          <w:color w:val="auto"/>
          <w:sz w:val="32"/>
          <w:szCs w:val="32"/>
          <w:highlight w:val="none"/>
          <w:shd w:val="clear" w:color="auto" w:fill="FFFFFF"/>
        </w:rPr>
        <w:t>（</w:t>
      </w:r>
      <w:r>
        <w:rPr>
          <w:rFonts w:hint="eastAsia" w:ascii="楷体_GB2312" w:hAnsi="楷体_GB2312" w:eastAsia="楷体_GB2312" w:cs="楷体_GB2312"/>
          <w:color w:val="auto"/>
          <w:sz w:val="32"/>
          <w:szCs w:val="32"/>
          <w:highlight w:val="none"/>
          <w:shd w:val="clear" w:color="auto" w:fill="FFFFFF"/>
          <w:lang w:val="en-US" w:eastAsia="zh-CN"/>
        </w:rPr>
        <w:t>一</w:t>
      </w:r>
      <w:r>
        <w:rPr>
          <w:rFonts w:hint="eastAsia" w:ascii="楷体_GB2312" w:hAnsi="楷体_GB2312" w:eastAsia="楷体_GB2312" w:cs="楷体_GB2312"/>
          <w:color w:val="auto"/>
          <w:sz w:val="32"/>
          <w:szCs w:val="32"/>
          <w:highlight w:val="none"/>
          <w:shd w:val="clear" w:color="auto" w:fill="FFFFFF"/>
        </w:rPr>
        <w:t>）</w:t>
      </w:r>
      <w:r>
        <w:rPr>
          <w:rFonts w:hint="eastAsia" w:ascii="楷体_GB2312" w:hAnsi="楷体_GB2312" w:eastAsia="楷体_GB2312" w:cs="楷体_GB2312"/>
          <w:color w:val="auto"/>
          <w:sz w:val="32"/>
          <w:szCs w:val="32"/>
          <w:highlight w:val="none"/>
          <w:shd w:val="clear" w:color="auto" w:fill="FFFFFF"/>
          <w:lang w:val="en-US" w:eastAsia="zh-CN"/>
        </w:rPr>
        <w:t>项目发力推进经济动能转换</w:t>
      </w:r>
      <w:r>
        <w:rPr>
          <w:rFonts w:hint="eastAsia" w:ascii="楷体_GB2312" w:hAnsi="楷体_GB2312" w:eastAsia="楷体_GB2312" w:cs="楷体_GB2312"/>
          <w:color w:val="auto"/>
          <w:sz w:val="32"/>
          <w:szCs w:val="32"/>
          <w:highlight w:val="none"/>
          <w:shd w:val="clear" w:color="auto" w:fill="FFFFFF"/>
        </w:rPr>
        <w:t>。</w:t>
      </w:r>
      <w:r>
        <w:rPr>
          <w:rFonts w:hint="eastAsia" w:ascii="仿宋_GB2312" w:hAnsi="仿宋_GB2312" w:eastAsia="仿宋_GB2312" w:cs="仿宋_GB2312"/>
          <w:b/>
          <w:bCs/>
          <w:color w:val="auto"/>
          <w:sz w:val="32"/>
          <w:szCs w:val="32"/>
          <w:highlight w:val="none"/>
          <w:shd w:val="clear" w:color="auto" w:fill="FFFFFF"/>
          <w:lang w:val="en-US" w:eastAsia="zh-CN"/>
        </w:rPr>
        <w:t>全力以赴推进项目</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b w:val="0"/>
          <w:bCs w:val="0"/>
          <w:color w:val="auto"/>
          <w:sz w:val="32"/>
          <w:szCs w:val="32"/>
          <w:highlight w:val="none"/>
          <w:shd w:val="clear" w:color="auto" w:fill="FFFFFF"/>
          <w:lang w:val="en-US" w:eastAsia="zh-CN"/>
        </w:rPr>
        <w:t>全面落实“项目深化年”部署要求，深入落实“5344”项目谋划法，</w:t>
      </w:r>
      <w:r>
        <w:rPr>
          <w:rFonts w:hint="eastAsia" w:ascii="仿宋_GB2312" w:hAnsi="仿宋_GB2312" w:eastAsia="仿宋_GB2312" w:cs="仿宋_GB2312"/>
          <w:color w:val="auto"/>
          <w:sz w:val="32"/>
          <w:szCs w:val="32"/>
          <w:highlight w:val="none"/>
          <w:shd w:val="clear" w:color="auto" w:fill="FFFFFF"/>
          <w:lang w:val="en-US" w:eastAsia="zh-CN"/>
        </w:rPr>
        <w:t>围绕高端产业集聚、区域消费中心等五大方向，力争谋划储备高质量项目270个以上。</w:t>
      </w:r>
      <w:r>
        <w:rPr>
          <w:rFonts w:hint="eastAsia" w:ascii="仿宋_GB2312" w:hAnsi="仿宋_GB2312" w:eastAsia="仿宋_GB2312" w:cs="仿宋_GB2312"/>
          <w:color w:val="auto"/>
          <w:kern w:val="2"/>
          <w:sz w:val="32"/>
          <w:szCs w:val="32"/>
          <w:highlight w:val="none"/>
          <w:u w:val="none"/>
          <w:lang w:val="en-US" w:eastAsia="zh-CN" w:bidi="ar-SA"/>
        </w:rPr>
        <w:t>围绕四大主导产业“强链、补链、延链”，突出抓好定向招商，提高项目落地意愿，做好项目签约落地全流程服务。</w:t>
      </w:r>
      <w:r>
        <w:rPr>
          <w:rFonts w:hint="eastAsia" w:ascii="仿宋_GB2312" w:hAnsi="仿宋_GB2312" w:eastAsia="仿宋_GB2312" w:cs="仿宋_GB2312"/>
          <w:b w:val="0"/>
          <w:bCs w:val="0"/>
          <w:color w:val="auto"/>
          <w:sz w:val="32"/>
          <w:szCs w:val="32"/>
          <w:highlight w:val="none"/>
          <w:shd w:val="clear" w:color="auto" w:fill="FFFFFF"/>
          <w:lang w:val="en-US" w:eastAsia="zh-CN"/>
        </w:rPr>
        <w:t>推广“拿地即开工”模式，</w:t>
      </w:r>
      <w:r>
        <w:rPr>
          <w:rFonts w:hint="eastAsia" w:ascii="仿宋_GB2312" w:hAnsi="仿宋_GB2312" w:eastAsia="仿宋_GB2312" w:cs="仿宋_GB2312"/>
          <w:color w:val="auto"/>
          <w:kern w:val="2"/>
          <w:sz w:val="32"/>
          <w:szCs w:val="32"/>
          <w:highlight w:val="none"/>
          <w:u w:val="none"/>
          <w:lang w:val="en-US" w:eastAsia="zh-CN" w:bidi="ar-SA"/>
        </w:rPr>
        <w:t>建立健全省市县三级重点项目“三张清单”，聚焦139个重点项目建设库，力促神州食品、海冠电力等60个项目新开工，确保汉方制药中药制剂产业园、大自然二期等40个项目投产达效。</w:t>
      </w:r>
      <w:r>
        <w:rPr>
          <w:rFonts w:hint="eastAsia" w:ascii="仿宋_GB2312" w:hAnsi="仿宋_GB2312" w:eastAsia="仿宋_GB2312" w:cs="仿宋_GB2312"/>
          <w:b/>
          <w:bCs/>
          <w:color w:val="auto"/>
          <w:sz w:val="32"/>
          <w:szCs w:val="32"/>
          <w:highlight w:val="none"/>
          <w:shd w:val="clear" w:color="auto" w:fill="FFFFFF"/>
          <w:lang w:val="en-US" w:eastAsia="zh-CN"/>
        </w:rPr>
        <w:t>持续强化招引力度</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b w:val="0"/>
          <w:bCs w:val="0"/>
          <w:color w:val="auto"/>
          <w:sz w:val="32"/>
          <w:szCs w:val="32"/>
          <w:highlight w:val="none"/>
          <w:shd w:val="clear" w:color="auto" w:fill="FFFFFF"/>
          <w:lang w:val="en-US" w:eastAsia="zh-CN"/>
        </w:rPr>
        <w:t>精准实施项目招引，力争全年新签约项目60个以上、签约额300亿元以上。依托比亚迪、新能源卡车等“链主”企业，做好配套项目招引和承接，</w:t>
      </w:r>
      <w:r>
        <w:rPr>
          <w:rFonts w:hint="eastAsia" w:ascii="仿宋_GB2312" w:hAnsi="仿宋_GB2312" w:eastAsia="仿宋_GB2312" w:cs="仿宋_GB2312"/>
          <w:color w:val="auto"/>
          <w:sz w:val="32"/>
          <w:szCs w:val="32"/>
          <w:highlight w:val="none"/>
        </w:rPr>
        <w:t>强化对台湾电机制造及控制等新能源汽车零部件企业的对接招引，延长新能源汽车产业链条</w:t>
      </w:r>
      <w:r>
        <w:rPr>
          <w:rFonts w:hint="eastAsia" w:ascii="仿宋_GB2312" w:hAnsi="仿宋_GB2312" w:eastAsia="仿宋_GB2312" w:cs="仿宋_GB2312"/>
          <w:b w:val="0"/>
          <w:bCs w:val="0"/>
          <w:color w:val="auto"/>
          <w:sz w:val="32"/>
          <w:szCs w:val="32"/>
          <w:highlight w:val="none"/>
          <w:shd w:val="clear" w:color="auto" w:fill="FFFFFF"/>
          <w:lang w:val="en-US" w:eastAsia="zh-CN"/>
        </w:rPr>
        <w:t>。鼓励旺旺食品、顶津食品等现有企业增资扩产，形成二次招商效应。力争新引进台资企业及关联项目30个，推动对台合作实现新突破。</w:t>
      </w:r>
      <w:r>
        <w:rPr>
          <w:rFonts w:hint="eastAsia" w:ascii="仿宋_GB2312" w:hAnsi="仿宋_GB2312" w:eastAsia="仿宋_GB2312" w:cs="仿宋_GB2312"/>
          <w:color w:val="auto"/>
          <w:sz w:val="32"/>
          <w:szCs w:val="32"/>
          <w:highlight w:val="none"/>
          <w:lang w:val="en-US" w:eastAsia="zh-CN"/>
        </w:rPr>
        <w:t>保存量、扩增量、强服务稳住外贸基本盘，</w:t>
      </w:r>
      <w:r>
        <w:rPr>
          <w:rFonts w:hint="eastAsia" w:ascii="仿宋_GB2312" w:hAnsi="仿宋_GB2312" w:eastAsia="仿宋_GB2312" w:cs="仿宋_GB2312"/>
          <w:b w:val="0"/>
          <w:bCs w:val="0"/>
          <w:color w:val="auto"/>
          <w:sz w:val="32"/>
          <w:szCs w:val="32"/>
          <w:highlight w:val="none"/>
          <w:shd w:val="clear" w:color="auto" w:fill="FFFFFF"/>
          <w:lang w:val="en-US" w:eastAsia="zh-CN"/>
        </w:rPr>
        <w:t>新增外贸进出口企业10家以上，外贸进出口额增长5%以上。开展好“春风行动”“才聚济阳高校行”等招聘活动，推动产学研深度融合引进优秀人才。</w:t>
      </w:r>
      <w:r>
        <w:rPr>
          <w:rFonts w:hint="eastAsia" w:ascii="仿宋_GB2312" w:hAnsi="仿宋_GB2312" w:eastAsia="仿宋_GB2312" w:cs="仿宋_GB2312"/>
          <w:b/>
          <w:bCs/>
          <w:color w:val="auto"/>
          <w:sz w:val="32"/>
          <w:szCs w:val="32"/>
          <w:highlight w:val="none"/>
          <w:shd w:val="clear" w:color="auto" w:fill="FFFFFF"/>
          <w:lang w:val="en-US" w:eastAsia="zh-CN"/>
        </w:rPr>
        <w:t>建强平台承载能力</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依托智能制造城及少海汇、锐基电力等园区载体，加快汽车零部件产业园建设，吸引集聚一批新能源汽车零部件配套企业，形成装备制造产业新增长极。</w:t>
      </w:r>
      <w:r>
        <w:rPr>
          <w:rFonts w:hint="eastAsia" w:ascii="仿宋_GB2312" w:hAnsi="仿宋_GB2312" w:eastAsia="仿宋_GB2312" w:cs="仿宋_GB2312"/>
          <w:b w:val="0"/>
          <w:bCs w:val="0"/>
          <w:color w:val="auto"/>
          <w:kern w:val="2"/>
          <w:sz w:val="32"/>
          <w:szCs w:val="32"/>
          <w:highlight w:val="none"/>
          <w:lang w:val="en-US" w:eastAsia="zh-CN"/>
        </w:rPr>
        <w:t>加快海峡两岸新旧动能转换产业合作区建设，</w:t>
      </w:r>
      <w:r>
        <w:rPr>
          <w:rFonts w:hint="eastAsia" w:ascii="仿宋_GB2312" w:hAnsi="仿宋_GB2312" w:eastAsia="仿宋_GB2312" w:cs="仿宋_GB2312"/>
          <w:color w:val="auto"/>
          <w:sz w:val="32"/>
          <w:szCs w:val="32"/>
          <w:highlight w:val="none"/>
          <w:lang w:val="en-US" w:eastAsia="zh-CN"/>
        </w:rPr>
        <w:t>积极争取省级层面举办合作区大型招商活动机遇，不断提升产业合作区影响力。</w:t>
      </w:r>
      <w:r>
        <w:rPr>
          <w:rFonts w:hint="eastAsia" w:ascii="仿宋_GB2312" w:hAnsi="仿宋_GB2312" w:eastAsia="仿宋_GB2312" w:cs="仿宋_GB2312"/>
          <w:color w:val="auto"/>
          <w:sz w:val="32"/>
          <w:szCs w:val="32"/>
          <w:highlight w:val="none"/>
          <w:shd w:val="clear" w:color="auto" w:fill="FFFFFF"/>
          <w:lang w:val="en-US" w:eastAsia="zh-CN"/>
        </w:rPr>
        <w:t>抢抓济北开发区</w:t>
      </w:r>
      <w:r>
        <w:rPr>
          <w:rFonts w:hint="eastAsia" w:ascii="仿宋_GB2312" w:hAnsi="仿宋_GB2312" w:eastAsia="仿宋_GB2312" w:cs="仿宋_GB2312"/>
          <w:color w:val="auto"/>
          <w:sz w:val="32"/>
          <w:szCs w:val="32"/>
          <w:highlight w:val="none"/>
        </w:rPr>
        <w:t>获省级绿色低碳高质量发展先行区产业园区试点</w:t>
      </w:r>
      <w:r>
        <w:rPr>
          <w:rFonts w:hint="eastAsia" w:ascii="仿宋_GB2312" w:hAnsi="仿宋_GB2312" w:eastAsia="仿宋_GB2312" w:cs="仿宋_GB2312"/>
          <w:color w:val="auto"/>
          <w:sz w:val="32"/>
          <w:szCs w:val="32"/>
          <w:highlight w:val="none"/>
          <w:lang w:val="en-US" w:eastAsia="zh-CN"/>
        </w:rPr>
        <w:t>机遇，发挥少海汇、锐基电力、联合智力等“区中园”运营商的资源优势，推动“飞地经济”建设发展。</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pPr>
      <w:r>
        <w:rPr>
          <w:rFonts w:hint="eastAsia" w:ascii="楷体_GB2312" w:hAnsi="楷体_GB2312" w:eastAsia="楷体_GB2312" w:cs="楷体_GB2312"/>
          <w:color w:val="auto"/>
          <w:sz w:val="32"/>
          <w:szCs w:val="32"/>
          <w:highlight w:val="none"/>
          <w:shd w:val="clear" w:color="auto" w:fill="FFFFFF"/>
        </w:rPr>
        <w:t>（二）</w:t>
      </w:r>
      <w:r>
        <w:rPr>
          <w:rFonts w:hint="eastAsia" w:ascii="楷体_GB2312" w:hAnsi="楷体_GB2312" w:eastAsia="楷体_GB2312" w:cs="楷体_GB2312"/>
          <w:color w:val="auto"/>
          <w:sz w:val="32"/>
          <w:szCs w:val="32"/>
          <w:highlight w:val="none"/>
          <w:shd w:val="clear" w:color="auto" w:fill="FFFFFF"/>
          <w:lang w:val="en-US" w:eastAsia="zh-CN"/>
        </w:rPr>
        <w:t>产业升级推动发展质效同升</w:t>
      </w:r>
      <w:r>
        <w:rPr>
          <w:rFonts w:hint="eastAsia" w:ascii="楷体_GB2312" w:hAnsi="楷体_GB2312" w:eastAsia="楷体_GB2312" w:cs="楷体_GB2312"/>
          <w:color w:val="auto"/>
          <w:sz w:val="32"/>
          <w:szCs w:val="32"/>
          <w:highlight w:val="none"/>
          <w:shd w:val="clear" w:color="auto" w:fill="FFFFFF"/>
        </w:rPr>
        <w:t>。</w:t>
      </w:r>
      <w:r>
        <w:rPr>
          <w:rFonts w:hint="eastAsia" w:ascii="仿宋_GB2312" w:hAnsi="仿宋_GB2312" w:eastAsia="仿宋_GB2312" w:cs="仿宋_GB2312"/>
          <w:b/>
          <w:bCs/>
          <w:color w:val="auto"/>
          <w:sz w:val="32"/>
          <w:szCs w:val="32"/>
          <w:highlight w:val="none"/>
          <w:shd w:val="clear" w:color="auto" w:fill="FFFFFF"/>
          <w:lang w:val="en-US" w:eastAsia="zh-CN"/>
        </w:rPr>
        <w:t>推进</w:t>
      </w:r>
      <w:r>
        <w:rPr>
          <w:rFonts w:hint="eastAsia" w:ascii="仿宋_GB2312" w:hAnsi="仿宋_GB2312" w:eastAsia="仿宋_GB2312" w:cs="仿宋_GB2312"/>
          <w:b/>
          <w:bCs/>
          <w:color w:val="auto"/>
          <w:sz w:val="32"/>
          <w:szCs w:val="32"/>
          <w:highlight w:val="none"/>
          <w:shd w:val="clear" w:color="auto" w:fill="FFFFFF"/>
        </w:rPr>
        <w:t>工业</w:t>
      </w:r>
      <w:r>
        <w:rPr>
          <w:rFonts w:hint="eastAsia" w:ascii="仿宋_GB2312" w:hAnsi="仿宋_GB2312" w:eastAsia="仿宋_GB2312" w:cs="仿宋_GB2312"/>
          <w:b/>
          <w:bCs/>
          <w:color w:val="auto"/>
          <w:sz w:val="32"/>
          <w:szCs w:val="32"/>
          <w:highlight w:val="none"/>
          <w:shd w:val="clear" w:color="auto" w:fill="FFFFFF"/>
          <w:lang w:val="en-US" w:eastAsia="zh-CN"/>
        </w:rPr>
        <w:t>扩能升级</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b w:val="0"/>
          <w:bCs w:val="0"/>
          <w:color w:val="auto"/>
          <w:sz w:val="32"/>
          <w:szCs w:val="32"/>
          <w:highlight w:val="none"/>
          <w:shd w:val="clear" w:color="auto" w:fill="FFFFFF"/>
          <w:lang w:val="en-US" w:eastAsia="zh-CN"/>
        </w:rPr>
        <w:t>推动济北经济开发区生态工业园区创建；</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加快中国特殊食品城建设，打造特殊食品产业新高地。</w:t>
      </w:r>
      <w:r>
        <w:rPr>
          <w:rFonts w:hint="eastAsia" w:ascii="仿宋_GB2312" w:hAnsi="仿宋_GB2312" w:eastAsia="仿宋_GB2312" w:cs="仿宋_GB2312"/>
          <w:b w:val="0"/>
          <w:bCs w:val="0"/>
          <w:color w:val="auto"/>
          <w:sz w:val="32"/>
          <w:szCs w:val="32"/>
          <w:highlight w:val="none"/>
          <w:shd w:val="clear" w:color="auto" w:fill="FFFFFF"/>
          <w:lang w:val="en-US" w:eastAsia="zh-CN"/>
        </w:rPr>
        <w:t>全力推动传统产业转型升级，加快实施大自然、矗峰重工、欧锐激光等重大增资项目，全年实施技改项目70个以上。深入贯彻绿色低碳高质量发展理念，力争新增市级绿色工厂5家、绿色工业园区1家。持续服务大自然新材料、旺旺食品、汉方制药等重点企业稳步发展，力争新培育过10亿元企业1-2家、过亿元企业10家以上。开展规上工业企业数字化诊断活动，力争将顶津食品、大鲁阁等企业打造成市级智能制造试点示范项目；推动数字产业发展，加大5G、千兆光纤网络等建设力度，积极引进新兴数字产业。</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全力支持企业推进高端化发展，打造1-2家市级工业设计中心。</w:t>
      </w:r>
      <w:r>
        <w:rPr>
          <w:rFonts w:hint="eastAsia" w:ascii="仿宋_GB2312" w:hAnsi="仿宋_GB2312" w:eastAsia="仿宋_GB2312" w:cs="仿宋_GB2312"/>
          <w:b/>
          <w:bCs/>
          <w:color w:val="auto"/>
          <w:sz w:val="32"/>
          <w:szCs w:val="32"/>
          <w:highlight w:val="none"/>
          <w:shd w:val="clear" w:color="auto" w:fill="FFFFFF"/>
        </w:rPr>
        <w:t>加强服务业能级提升。</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加快打造黄河北区域性消费中心，实现服务业增加值增长6%以上。</w:t>
      </w:r>
      <w:r>
        <w:rPr>
          <w:rFonts w:hint="eastAsia" w:ascii="仿宋_GB2312" w:hAnsi="仿宋_GB2312" w:eastAsia="仿宋_GB2312" w:cs="仿宋_GB2312"/>
          <w:color w:val="auto"/>
          <w:kern w:val="0"/>
          <w:sz w:val="32"/>
          <w:szCs w:val="32"/>
          <w:lang w:val="en-US" w:eastAsia="zh-CN" w:bidi="ar"/>
        </w:rPr>
        <w:t>推动商居和谐，发展融合性商业，</w:t>
      </w:r>
      <w:r>
        <w:rPr>
          <w:rFonts w:hint="eastAsia" w:ascii="仿宋_GB2312" w:hAnsi="仿宋_GB2312" w:eastAsia="仿宋_GB2312" w:cs="仿宋_GB2312"/>
          <w:color w:val="auto"/>
          <w:kern w:val="0"/>
          <w:sz w:val="32"/>
          <w:szCs w:val="32"/>
          <w:highlight w:val="none"/>
          <w:lang w:val="en-US" w:eastAsia="zh-CN" w:bidi="ar"/>
        </w:rPr>
        <w:t>建成数字人民币消费集聚区1个以上，新建改造社区一刻钟便民生活圈2处</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b w:val="0"/>
          <w:bCs w:val="0"/>
          <w:color w:val="auto"/>
          <w:kern w:val="0"/>
          <w:sz w:val="32"/>
          <w:szCs w:val="32"/>
          <w:lang w:val="en-US" w:eastAsia="zh-CN" w:bidi="ar"/>
        </w:rPr>
        <w:t>大力引进知名品牌开设首店、旗舰店、体验店和连锁店，</w:t>
      </w:r>
      <w:r>
        <w:rPr>
          <w:rFonts w:hint="eastAsia" w:ascii="仿宋_GB2312" w:hAnsi="仿宋_GB2312" w:eastAsia="仿宋_GB2312" w:cs="仿宋_GB2312"/>
          <w:color w:val="auto"/>
          <w:sz w:val="32"/>
          <w:szCs w:val="32"/>
          <w:lang w:val="en-US" w:eastAsia="zh-CN"/>
        </w:rPr>
        <w:t>年内引进商业品牌首店2家</w:t>
      </w:r>
      <w:r>
        <w:rPr>
          <w:rFonts w:hint="eastAsia" w:ascii="仿宋_GB2312" w:hAnsi="仿宋_GB2312" w:eastAsia="仿宋_GB2312" w:cs="仿宋_GB2312"/>
          <w:b w:val="0"/>
          <w:bCs w:val="0"/>
          <w:color w:val="auto"/>
          <w:kern w:val="0"/>
          <w:sz w:val="32"/>
          <w:szCs w:val="32"/>
          <w:lang w:val="en-US" w:eastAsia="zh-CN" w:bidi="ar"/>
        </w:rPr>
        <w:t>。</w:t>
      </w:r>
      <w:r>
        <w:rPr>
          <w:rFonts w:hint="eastAsia" w:ascii="仿宋_GB2312" w:hAnsi="仿宋_GB2312" w:eastAsia="仿宋_GB2312" w:cs="仿宋_GB2312"/>
          <w:color w:val="auto"/>
          <w:sz w:val="32"/>
          <w:szCs w:val="32"/>
          <w:highlight w:val="none"/>
          <w:lang w:val="en-US" w:eastAsia="zh-CN"/>
        </w:rPr>
        <w:t>推动信业商厦、利群等知名购物中心在济阳布局开店，打造区域商贸龙头企业聚集地。</w:t>
      </w:r>
      <w:r>
        <w:rPr>
          <w:rFonts w:hint="default" w:ascii="仿宋_GB2312" w:hAnsi="仿宋_GB2312" w:eastAsia="仿宋_GB2312" w:cs="仿宋_GB2312"/>
          <w:color w:val="auto"/>
          <w:sz w:val="32"/>
          <w:szCs w:val="32"/>
          <w:lang w:val="en-US" w:eastAsia="zh-CN"/>
        </w:rPr>
        <w:t>积极推动引进中泰证券设立分支机构，完善</w:t>
      </w:r>
      <w:r>
        <w:rPr>
          <w:rFonts w:hint="eastAsia" w:ascii="仿宋_GB2312" w:hAnsi="仿宋_GB2312" w:eastAsia="仿宋_GB2312" w:cs="仿宋_GB2312"/>
          <w:color w:val="auto"/>
          <w:sz w:val="32"/>
          <w:szCs w:val="32"/>
          <w:lang w:val="en-US" w:eastAsia="zh-CN"/>
        </w:rPr>
        <w:t>全区</w:t>
      </w:r>
      <w:r>
        <w:rPr>
          <w:rFonts w:hint="default" w:ascii="仿宋_GB2312" w:hAnsi="仿宋_GB2312" w:eastAsia="仿宋_GB2312" w:cs="仿宋_GB2312"/>
          <w:color w:val="auto"/>
          <w:sz w:val="32"/>
          <w:szCs w:val="32"/>
          <w:lang w:val="en-US" w:eastAsia="zh-CN"/>
        </w:rPr>
        <w:t>金融服务体系。加快发展普惠金融，</w:t>
      </w:r>
      <w:r>
        <w:rPr>
          <w:rFonts w:hint="eastAsia" w:ascii="仿宋_GB2312" w:hAnsi="仿宋_GB2312" w:eastAsia="仿宋_GB2312" w:cs="仿宋_GB2312"/>
          <w:color w:val="auto"/>
          <w:sz w:val="32"/>
          <w:szCs w:val="32"/>
          <w:highlight w:val="none"/>
          <w:lang w:val="en-US" w:eastAsia="zh-CN"/>
        </w:rPr>
        <w:t>金融业增加值实现增长8%以上。以龙泰电商产业园为服务阵地，大力挖掘农村电商资源，</w:t>
      </w:r>
      <w:r>
        <w:rPr>
          <w:rFonts w:hint="default" w:ascii="仿宋_GB2312" w:hAnsi="仿宋_GB2312" w:eastAsia="仿宋_GB2312" w:cs="仿宋_GB2312"/>
          <w:color w:val="auto"/>
          <w:sz w:val="32"/>
          <w:szCs w:val="32"/>
          <w:lang w:val="en-US" w:eastAsia="zh-CN"/>
        </w:rPr>
        <w:t>推动电商企业“抱团发展”。</w:t>
      </w:r>
      <w:r>
        <w:rPr>
          <w:rFonts w:hint="eastAsia" w:ascii="仿宋_GB2312" w:hAnsi="仿宋_GB2312" w:eastAsia="仿宋_GB2312" w:cs="仿宋_GB2312"/>
          <w:b/>
          <w:bCs/>
          <w:color w:val="auto"/>
          <w:sz w:val="32"/>
          <w:szCs w:val="32"/>
          <w:highlight w:val="none"/>
          <w:shd w:val="clear" w:color="auto" w:fill="FFFFFF"/>
        </w:rPr>
        <w:t>现代农业</w:t>
      </w:r>
      <w:r>
        <w:rPr>
          <w:rFonts w:hint="eastAsia" w:ascii="仿宋_GB2312" w:hAnsi="仿宋_GB2312" w:eastAsia="仿宋_GB2312" w:cs="仿宋_GB2312"/>
          <w:b/>
          <w:bCs/>
          <w:color w:val="auto"/>
          <w:sz w:val="32"/>
          <w:szCs w:val="32"/>
          <w:highlight w:val="none"/>
          <w:shd w:val="clear" w:color="auto" w:fill="FFFFFF"/>
          <w:lang w:val="en-US" w:eastAsia="zh-CN"/>
        </w:rPr>
        <w:t>持续壮大</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落实藏粮于地、藏粮于技战略，</w:t>
      </w:r>
      <w:r>
        <w:rPr>
          <w:rFonts w:hint="eastAsia" w:ascii="仿宋_GB2312" w:hAnsi="仿宋_GB2312" w:eastAsia="仿宋_GB2312" w:cs="仿宋_GB2312"/>
          <w:color w:val="auto"/>
          <w:sz w:val="32"/>
          <w:szCs w:val="32"/>
          <w:highlight w:val="none"/>
          <w:shd w:val="clear" w:color="auto" w:fill="FFFFFF"/>
          <w:lang w:eastAsia="zh-CN"/>
        </w:rPr>
        <w:t>扛</w:t>
      </w:r>
      <w:r>
        <w:rPr>
          <w:rFonts w:hint="eastAsia" w:ascii="仿宋_GB2312" w:hAnsi="仿宋_GB2312" w:eastAsia="仿宋_GB2312" w:cs="仿宋_GB2312"/>
          <w:color w:val="auto"/>
          <w:sz w:val="32"/>
          <w:szCs w:val="32"/>
          <w:highlight w:val="none"/>
          <w:shd w:val="clear" w:color="auto" w:fill="FFFFFF"/>
          <w:lang w:val="en-US" w:eastAsia="zh-CN"/>
        </w:rPr>
        <w:t>牢粮食安全政治责任</w:t>
      </w:r>
      <w:r>
        <w:rPr>
          <w:rFonts w:hint="eastAsia" w:ascii="仿宋_GB2312" w:hAnsi="仿宋_GB2312" w:eastAsia="仿宋_GB2312" w:cs="仿宋_GB2312"/>
          <w:color w:val="auto"/>
          <w:sz w:val="32"/>
          <w:szCs w:val="32"/>
          <w:highlight w:val="none"/>
          <w:shd w:val="clear" w:color="auto" w:fill="FFFFFF"/>
        </w:rPr>
        <w:t>，新建</w:t>
      </w:r>
      <w:r>
        <w:rPr>
          <w:rFonts w:hint="eastAsia" w:ascii="仿宋_GB2312" w:hAnsi="仿宋_GB2312" w:eastAsia="仿宋_GB2312" w:cs="仿宋_GB2312"/>
          <w:color w:val="auto"/>
          <w:sz w:val="32"/>
          <w:szCs w:val="32"/>
          <w:highlight w:val="none"/>
          <w:shd w:val="clear" w:color="auto" w:fill="FFFFFF"/>
          <w:lang w:val="en-US" w:eastAsia="zh-CN"/>
        </w:rPr>
        <w:t>提升</w:t>
      </w:r>
      <w:r>
        <w:rPr>
          <w:rFonts w:hint="eastAsia" w:ascii="仿宋_GB2312" w:hAnsi="仿宋_GB2312" w:eastAsia="仿宋_GB2312" w:cs="仿宋_GB2312"/>
          <w:color w:val="auto"/>
          <w:sz w:val="32"/>
          <w:szCs w:val="32"/>
          <w:highlight w:val="none"/>
          <w:shd w:val="clear" w:color="auto" w:fill="FFFFFF"/>
        </w:rPr>
        <w:t>高标准农田</w:t>
      </w: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万亩</w:t>
      </w:r>
      <w:r>
        <w:rPr>
          <w:rFonts w:hint="eastAsia" w:ascii="仿宋_GB2312" w:hAnsi="仿宋_GB2312" w:eastAsia="仿宋_GB2312" w:cs="仿宋_GB2312"/>
          <w:color w:val="auto"/>
          <w:sz w:val="32"/>
          <w:szCs w:val="32"/>
          <w:highlight w:val="none"/>
          <w:shd w:val="clear" w:color="auto" w:fill="FFFFFF"/>
          <w:lang w:val="en-US" w:eastAsia="zh-CN"/>
        </w:rPr>
        <w:t>，实现</w:t>
      </w:r>
      <w:r>
        <w:rPr>
          <w:rFonts w:hint="eastAsia" w:ascii="仿宋_GB2312" w:hAnsi="仿宋_GB2312" w:eastAsia="仿宋_GB2312" w:cs="仿宋_GB2312"/>
          <w:color w:val="auto"/>
          <w:sz w:val="32"/>
          <w:szCs w:val="32"/>
          <w:highlight w:val="none"/>
          <w:shd w:val="clear" w:color="auto" w:fill="FFFFFF"/>
        </w:rPr>
        <w:t>粮食总产量44.6万吨</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确保粮食面积和产量稳中有升，实现农业增加值增长</w:t>
      </w:r>
      <w:r>
        <w:rPr>
          <w:rFonts w:hint="eastAsia" w:ascii="仿宋_GB2312" w:hAnsi="仿宋_GB2312" w:eastAsia="仿宋_GB2312" w:cs="仿宋_GB2312"/>
          <w:color w:val="auto"/>
          <w:sz w:val="32"/>
          <w:szCs w:val="32"/>
          <w:highlight w:val="none"/>
          <w:shd w:val="clear" w:color="auto" w:fill="FFFFFF"/>
          <w:lang w:val="en-US" w:eastAsia="zh-CN"/>
        </w:rPr>
        <w:t>4%以上</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推动乡村特色产业延链补链强链，打造曲堤黄瓜</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全产业链示范园、垛石番茄示范园等六大特色产业园。支持新市镇建设万亩小麦玉米单产提升技术集成示范区，打造“吨半粮，看济阳”特色品牌。有效整合各街镇资源，谋划举办北京新发地济阳特色农产品直销推介会。加快建设众裕白羽肉食鸡、易丰科技蛋鸡、齐鲁财金生猪等养殖项目，补齐畜牧业发展短板。积极创建济阳区清洁示范村，新增市级以上农业龙头企业2家、家庭农场3个、合作社3个。</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Fonts w:hint="eastAsia" w:ascii="仿宋_GB2312" w:hAnsi="仿宋_GB2312" w:eastAsia="仿宋_GB2312" w:cs="仿宋_GB2312"/>
          <w:color w:val="auto"/>
          <w:sz w:val="32"/>
          <w:szCs w:val="32"/>
          <w:highlight w:val="yellow"/>
          <w:shd w:val="clear" w:color="auto" w:fill="FFFFFF"/>
        </w:rPr>
      </w:pPr>
      <w:r>
        <w:rPr>
          <w:rFonts w:hint="eastAsia" w:ascii="楷体_GB2312" w:hAnsi="楷体_GB2312" w:eastAsia="楷体_GB2312" w:cs="楷体_GB2312"/>
          <w:color w:val="auto"/>
          <w:sz w:val="32"/>
          <w:szCs w:val="32"/>
          <w:highlight w:val="none"/>
          <w:shd w:val="clear" w:color="auto" w:fill="FFFFFF"/>
        </w:rPr>
        <w:t>（</w:t>
      </w:r>
      <w:r>
        <w:rPr>
          <w:rFonts w:hint="eastAsia" w:ascii="楷体_GB2312" w:hAnsi="楷体_GB2312" w:eastAsia="楷体_GB2312" w:cs="楷体_GB2312"/>
          <w:color w:val="auto"/>
          <w:sz w:val="32"/>
          <w:szCs w:val="32"/>
          <w:highlight w:val="none"/>
          <w:shd w:val="clear" w:color="auto" w:fill="FFFFFF"/>
          <w:lang w:val="en-US" w:eastAsia="zh-CN"/>
        </w:rPr>
        <w:t>三</w:t>
      </w:r>
      <w:r>
        <w:rPr>
          <w:rFonts w:hint="eastAsia" w:ascii="楷体_GB2312" w:hAnsi="楷体_GB2312" w:eastAsia="楷体_GB2312" w:cs="楷体_GB2312"/>
          <w:color w:val="auto"/>
          <w:sz w:val="32"/>
          <w:szCs w:val="32"/>
          <w:highlight w:val="none"/>
          <w:shd w:val="clear" w:color="auto" w:fill="FFFFFF"/>
        </w:rPr>
        <w:t>）</w:t>
      </w:r>
      <w:r>
        <w:rPr>
          <w:rFonts w:hint="eastAsia" w:ascii="楷体_GB2312" w:hAnsi="楷体_GB2312" w:eastAsia="楷体_GB2312" w:cs="楷体_GB2312"/>
          <w:color w:val="auto"/>
          <w:sz w:val="32"/>
          <w:szCs w:val="32"/>
          <w:highlight w:val="none"/>
          <w:shd w:val="clear" w:color="auto" w:fill="FFFFFF"/>
          <w:lang w:val="en-US" w:eastAsia="zh-CN"/>
        </w:rPr>
        <w:t>改革创新赋能高质量发展</w:t>
      </w:r>
      <w:r>
        <w:rPr>
          <w:rFonts w:hint="eastAsia" w:ascii="楷体_GB2312" w:hAnsi="楷体_GB2312" w:eastAsia="楷体_GB2312" w:cs="楷体_GB2312"/>
          <w:color w:val="auto"/>
          <w:sz w:val="32"/>
          <w:szCs w:val="32"/>
          <w:highlight w:val="none"/>
          <w:shd w:val="clear" w:color="auto" w:fill="FFFFFF"/>
        </w:rPr>
        <w:t>。</w:t>
      </w:r>
      <w:r>
        <w:rPr>
          <w:rFonts w:hint="eastAsia" w:ascii="仿宋_GB2312" w:hAnsi="仿宋_GB2312" w:eastAsia="仿宋_GB2312" w:cs="仿宋_GB2312"/>
          <w:b/>
          <w:bCs/>
          <w:color w:val="auto"/>
          <w:sz w:val="32"/>
          <w:szCs w:val="32"/>
          <w:highlight w:val="none"/>
          <w:shd w:val="clear" w:color="auto" w:fill="FFFFFF"/>
          <w:lang w:val="en-US" w:eastAsia="zh-CN"/>
        </w:rPr>
        <w:t>聚力服务改革升级</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b w:val="0"/>
          <w:bCs w:val="0"/>
          <w:color w:val="auto"/>
          <w:sz w:val="32"/>
          <w:szCs w:val="32"/>
          <w:highlight w:val="none"/>
          <w:shd w:val="clear" w:color="auto" w:fill="FFFFFF"/>
          <w:lang w:val="en-US" w:eastAsia="zh-CN"/>
        </w:rPr>
        <w:t>践行“经济发展服务生”理念，健全完善服务专员制度，深入企业开展问题“摸排销”，推动已掌握企业问题清零销号。深化“跨市15分钟政务服务圈”示范区合作内涵，持续塑强“在济阳·济时办”特色政务服务品牌。打造数字化服务体系，通过数字赋能推进政务服务“云大厅”、数字政务门牌建设，扩大“云勘验”适用范围，提升数字化勘验水平。</w:t>
      </w:r>
      <w:r>
        <w:rPr>
          <w:rFonts w:hint="eastAsia" w:ascii="仿宋_GB2312" w:hAnsi="仿宋_GB2312" w:eastAsia="仿宋_GB2312" w:cs="仿宋_GB2312"/>
          <w:b/>
          <w:bCs/>
          <w:color w:val="auto"/>
          <w:sz w:val="32"/>
          <w:szCs w:val="32"/>
          <w:highlight w:val="none"/>
          <w:shd w:val="clear" w:color="auto" w:fill="FFFFFF"/>
        </w:rPr>
        <w:t>推动体制机制改革。</w:t>
      </w:r>
      <w:r>
        <w:rPr>
          <w:rFonts w:hint="eastAsia" w:ascii="仿宋_GB2312" w:hAnsi="仿宋_GB2312" w:eastAsia="仿宋_GB2312" w:cs="仿宋_GB2312"/>
          <w:b w:val="0"/>
          <w:bCs w:val="0"/>
          <w:color w:val="auto"/>
          <w:sz w:val="32"/>
          <w:szCs w:val="32"/>
          <w:highlight w:val="none"/>
          <w:shd w:val="clear" w:color="auto" w:fill="FFFFFF"/>
          <w:lang w:val="en-US" w:eastAsia="zh-CN"/>
        </w:rPr>
        <w:t>完善</w:t>
      </w:r>
      <w:r>
        <w:rPr>
          <w:rFonts w:hint="eastAsia" w:ascii="仿宋_GB2312" w:hAnsi="仿宋_GB2312" w:eastAsia="仿宋_GB2312" w:cs="仿宋_GB2312"/>
          <w:b w:val="0"/>
          <w:bCs w:val="0"/>
          <w:color w:val="auto"/>
          <w:sz w:val="32"/>
          <w:szCs w:val="32"/>
          <w:highlight w:val="none"/>
          <w:shd w:val="clear" w:color="auto" w:fill="FFFFFF"/>
          <w:lang w:eastAsia="zh-CN"/>
        </w:rPr>
        <w:t>绩效管理体系</w:t>
      </w:r>
      <w:r>
        <w:rPr>
          <w:rFonts w:hint="eastAsia" w:ascii="仿宋_GB2312" w:hAnsi="仿宋_GB2312" w:eastAsia="仿宋_GB2312" w:cs="仿宋_GB2312"/>
          <w:b w:val="0"/>
          <w:bCs w:val="0"/>
          <w:color w:val="auto"/>
          <w:sz w:val="32"/>
          <w:szCs w:val="32"/>
          <w:highlight w:val="none"/>
          <w:shd w:val="clear" w:color="auto" w:fill="FFFFFF"/>
          <w:lang w:val="en-US" w:eastAsia="zh-CN"/>
        </w:rPr>
        <w:t>建设</w:t>
      </w:r>
      <w:r>
        <w:rPr>
          <w:rFonts w:hint="eastAsia" w:ascii="仿宋_GB2312" w:hAnsi="仿宋_GB2312" w:eastAsia="仿宋_GB2312" w:cs="仿宋_GB2312"/>
          <w:b w:val="0"/>
          <w:bCs w:val="0"/>
          <w:color w:val="auto"/>
          <w:sz w:val="32"/>
          <w:szCs w:val="32"/>
          <w:highlight w:val="none"/>
          <w:shd w:val="clear" w:color="auto" w:fill="FFFFFF"/>
        </w:rPr>
        <w:t>，</w:t>
      </w:r>
      <w:r>
        <w:rPr>
          <w:rFonts w:hint="eastAsia" w:ascii="仿宋_GB2312" w:hAnsi="仿宋_GB2312" w:eastAsia="仿宋_GB2312" w:cs="仿宋_GB2312"/>
          <w:b w:val="0"/>
          <w:bCs w:val="0"/>
          <w:color w:val="auto"/>
          <w:sz w:val="32"/>
          <w:szCs w:val="32"/>
          <w:highlight w:val="none"/>
          <w:shd w:val="clear" w:color="auto" w:fill="FFFFFF"/>
          <w:lang w:val="en-US" w:eastAsia="zh-CN"/>
        </w:rPr>
        <w:t>积极推进</w:t>
      </w:r>
      <w:r>
        <w:rPr>
          <w:rFonts w:hint="eastAsia" w:ascii="仿宋_GB2312" w:hAnsi="仿宋_GB2312" w:eastAsia="仿宋_GB2312" w:cs="仿宋_GB2312"/>
          <w:b w:val="0"/>
          <w:bCs w:val="0"/>
          <w:color w:val="auto"/>
          <w:sz w:val="32"/>
          <w:szCs w:val="32"/>
          <w:highlight w:val="none"/>
          <w:shd w:val="clear" w:color="auto" w:fill="FFFFFF"/>
        </w:rPr>
        <w:t>全区成本预算绩效管理改革</w:t>
      </w:r>
      <w:r>
        <w:rPr>
          <w:rFonts w:hint="eastAsia" w:ascii="仿宋_GB2312" w:hAnsi="仿宋_GB2312" w:eastAsia="仿宋_GB2312" w:cs="仿宋_GB2312"/>
          <w:b w:val="0"/>
          <w:bCs w:val="0"/>
          <w:color w:val="auto"/>
          <w:sz w:val="32"/>
          <w:szCs w:val="32"/>
          <w:highlight w:val="none"/>
          <w:shd w:val="clear" w:color="auto" w:fill="FFFFFF"/>
          <w:lang w:eastAsia="zh-CN"/>
        </w:rPr>
        <w:t>。</w:t>
      </w:r>
      <w:r>
        <w:rPr>
          <w:rFonts w:hint="eastAsia" w:ascii="仿宋_GB2312" w:hAnsi="仿宋_GB2312" w:eastAsia="仿宋_GB2312" w:cs="仿宋_GB2312"/>
          <w:b w:val="0"/>
          <w:bCs w:val="0"/>
          <w:color w:val="auto"/>
          <w:sz w:val="32"/>
          <w:szCs w:val="32"/>
          <w:highlight w:val="none"/>
          <w:shd w:val="clear" w:color="auto" w:fill="FFFFFF"/>
          <w:lang w:val="en-US" w:eastAsia="zh-CN"/>
        </w:rPr>
        <w:t>抓紧抓实农村“三变”改革，盘活资源、发展项目、搞活产业。健全“项目管家”全流程帮办机制，保障项目审批时限最优、全程畅通。强化守信激励和失信联合惩戒，推动社会信用体系建设。</w:t>
      </w:r>
      <w:r>
        <w:rPr>
          <w:rFonts w:hint="eastAsia" w:ascii="仿宋_GB2312" w:hAnsi="仿宋_GB2312" w:eastAsia="仿宋_GB2312" w:cs="仿宋_GB2312"/>
          <w:b/>
          <w:bCs/>
          <w:color w:val="auto"/>
          <w:sz w:val="32"/>
          <w:szCs w:val="32"/>
          <w:highlight w:val="none"/>
          <w:shd w:val="clear" w:color="auto" w:fill="FFFFFF"/>
          <w:lang w:val="en-US" w:eastAsia="zh-CN"/>
        </w:rPr>
        <w:t>扎实培育</w:t>
      </w:r>
      <w:r>
        <w:rPr>
          <w:rFonts w:hint="eastAsia" w:ascii="仿宋_GB2312" w:hAnsi="仿宋_GB2312" w:eastAsia="仿宋_GB2312" w:cs="仿宋_GB2312"/>
          <w:b/>
          <w:bCs/>
          <w:color w:val="auto"/>
          <w:sz w:val="32"/>
          <w:szCs w:val="32"/>
          <w:highlight w:val="none"/>
          <w:shd w:val="clear" w:color="auto" w:fill="FFFFFF"/>
        </w:rPr>
        <w:t>创新主体。</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推进高校科研成果在企业转化嫁接，争取研发经费投入增长20%，完成市级以上科技计划项目5个，新增高新技术企业15家，国家科技型中小企业入库290家。</w:t>
      </w:r>
      <w:r>
        <w:rPr>
          <w:rFonts w:hint="eastAsia" w:ascii="仿宋_GB2312" w:hAnsi="仿宋_GB2312" w:eastAsia="仿宋_GB2312" w:cs="仿宋_GB2312"/>
          <w:b w:val="0"/>
          <w:bCs w:val="0"/>
          <w:color w:val="auto"/>
          <w:sz w:val="32"/>
          <w:szCs w:val="32"/>
          <w:highlight w:val="none"/>
          <w:shd w:val="clear" w:color="auto" w:fill="FFFFFF"/>
          <w:lang w:val="en-US" w:eastAsia="zh-CN"/>
        </w:rPr>
        <w:t>继续支持中小企业向“专精特新”转型发展，全年新增“专精特新”、瞪羚等高质量企业25家以上。</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搭建高层次科创平台，力争新增市级以上研发平台载体4家以上。</w:t>
      </w:r>
    </w:p>
    <w:p>
      <w:pPr>
        <w:keepNext w:val="0"/>
        <w:keepLines w:val="0"/>
        <w:pageBreakBefore w:val="0"/>
        <w:widowControl w:val="0"/>
        <w:suppressLineNumbers w:val="0"/>
        <w:kinsoku/>
        <w:wordWrap/>
        <w:overflowPunct w:val="0"/>
        <w:topLinePunct w:val="0"/>
        <w:autoSpaceDE/>
        <w:autoSpaceDN/>
        <w:bidi w:val="0"/>
        <w:spacing w:line="540" w:lineRule="exact"/>
        <w:ind w:firstLine="640" w:firstLineChars="200"/>
        <w:jc w:val="both"/>
        <w:rPr>
          <w:rFonts w:ascii="仿宋_GB2312" w:hAnsi="仿宋"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shd w:val="clear" w:color="auto" w:fill="FFFFFF"/>
        </w:rPr>
        <w:t>（四）</w:t>
      </w:r>
      <w:r>
        <w:rPr>
          <w:rFonts w:hint="eastAsia" w:ascii="楷体_GB2312" w:hAnsi="楷体_GB2312" w:eastAsia="楷体_GB2312" w:cs="楷体_GB2312"/>
          <w:color w:val="auto"/>
          <w:sz w:val="32"/>
          <w:szCs w:val="32"/>
          <w:highlight w:val="none"/>
          <w:shd w:val="clear" w:color="auto" w:fill="FFFFFF"/>
          <w:lang w:val="en-US" w:eastAsia="zh-CN"/>
        </w:rPr>
        <w:t>规划引领打造城市宜居环境</w:t>
      </w:r>
      <w:r>
        <w:rPr>
          <w:rFonts w:hint="eastAsia" w:ascii="楷体_GB2312" w:hAnsi="楷体_GB2312" w:eastAsia="楷体_GB2312" w:cs="楷体_GB2312"/>
          <w:color w:val="auto"/>
          <w:sz w:val="32"/>
          <w:szCs w:val="32"/>
          <w:highlight w:val="none"/>
          <w:shd w:val="clear" w:color="auto" w:fill="FFFFFF"/>
        </w:rPr>
        <w:t>。</w:t>
      </w:r>
      <w:r>
        <w:rPr>
          <w:rFonts w:hint="eastAsia" w:ascii="仿宋_GB2312" w:hAnsi="仿宋_GB2312" w:eastAsia="仿宋_GB2312" w:cs="仿宋_GB2312"/>
          <w:b/>
          <w:bCs/>
          <w:color w:val="auto"/>
          <w:sz w:val="32"/>
          <w:szCs w:val="32"/>
          <w:highlight w:val="none"/>
          <w:shd w:val="clear" w:color="auto" w:fill="FFFFFF"/>
          <w:lang w:val="en-US" w:eastAsia="zh-CN"/>
        </w:rPr>
        <w:t>持续强化</w:t>
      </w:r>
      <w:r>
        <w:rPr>
          <w:rFonts w:hint="eastAsia" w:ascii="仿宋_GB2312" w:hAnsi="仿宋_GB2312" w:eastAsia="仿宋_GB2312" w:cs="仿宋_GB2312"/>
          <w:b/>
          <w:bCs/>
          <w:color w:val="auto"/>
          <w:sz w:val="32"/>
          <w:szCs w:val="32"/>
          <w:highlight w:val="none"/>
          <w:shd w:val="clear" w:color="auto" w:fill="FFFFFF"/>
        </w:rPr>
        <w:t>协同发展。</w:t>
      </w:r>
      <w:r>
        <w:rPr>
          <w:rFonts w:hint="eastAsia" w:ascii="仿宋_GB2312" w:hAnsi="仿宋_GB2312" w:eastAsia="仿宋_GB2312" w:cs="仿宋_GB2312"/>
          <w:b w:val="0"/>
          <w:bCs w:val="0"/>
          <w:color w:val="auto"/>
          <w:sz w:val="32"/>
          <w:szCs w:val="32"/>
          <w:highlight w:val="none"/>
          <w:u w:val="none"/>
          <w:lang w:val="en-US" w:eastAsia="zh-CN"/>
        </w:rPr>
        <w:t>探索编制全区沿黄生态廊道规划，推动黄河国家战略有力实施。坚定融入起步区建设大格局，</w:t>
      </w:r>
      <w:r>
        <w:rPr>
          <w:rFonts w:hint="eastAsia" w:ascii="仿宋_GB2312" w:hAnsi="仿宋_GB2312" w:eastAsia="仿宋_GB2312" w:cs="仿宋_GB2312"/>
          <w:b w:val="0"/>
          <w:bCs w:val="0"/>
          <w:color w:val="auto"/>
          <w:sz w:val="32"/>
          <w:szCs w:val="32"/>
          <w:highlight w:val="none"/>
          <w:shd w:val="clear" w:color="auto" w:fill="FFFFFF"/>
          <w:lang w:val="en-US" w:eastAsia="zh-CN"/>
        </w:rPr>
        <w:t>积极对接高新区、综保区、临空区等周边功能区，</w:t>
      </w:r>
      <w:r>
        <w:rPr>
          <w:rFonts w:hint="eastAsia" w:ascii="仿宋_GB2312" w:hAnsi="仿宋_GB2312" w:eastAsia="仿宋_GB2312" w:cs="仿宋_GB2312"/>
          <w:b w:val="0"/>
          <w:bCs w:val="0"/>
          <w:color w:val="auto"/>
          <w:sz w:val="32"/>
          <w:szCs w:val="32"/>
          <w:highlight w:val="none"/>
          <w:u w:val="none"/>
          <w:lang w:val="en-US" w:eastAsia="zh-CN"/>
        </w:rPr>
        <w:t>推动城市规划、交通路网、公共服务全方位融合</w:t>
      </w:r>
      <w:r>
        <w:rPr>
          <w:rFonts w:hint="eastAsia" w:ascii="仿宋_GB2312" w:hAnsi="仿宋_GB2312" w:eastAsia="仿宋_GB2312" w:cs="仿宋_GB2312"/>
          <w:b w:val="0"/>
          <w:bCs w:val="0"/>
          <w:color w:val="auto"/>
          <w:sz w:val="32"/>
          <w:szCs w:val="32"/>
          <w:highlight w:val="none"/>
          <w:shd w:val="clear" w:color="auto" w:fill="FFFFFF"/>
          <w:lang w:val="en-US" w:eastAsia="zh-CN"/>
        </w:rPr>
        <w:t>，充分利用资源优势，建立常态化沟通机制，实现协同共进。推进省会经济圈一体化建设，</w:t>
      </w:r>
      <w:r>
        <w:rPr>
          <w:rFonts w:hint="eastAsia" w:ascii="仿宋_GB2312" w:hAnsi="仿宋_GB2312" w:eastAsia="仿宋_GB2312" w:cs="仿宋_GB2312"/>
          <w:color w:val="auto"/>
          <w:kern w:val="2"/>
          <w:sz w:val="32"/>
          <w:szCs w:val="32"/>
          <w:highlight w:val="none"/>
          <w:lang w:val="en-US" w:eastAsia="zh-CN" w:bidi="ar-SA"/>
        </w:rPr>
        <w:t>建立“大北环”、济滨高铁等线性工程的定期联络机制，力争“大北环”项目济阳区境内部分通车，完成济滨高铁全部拆迁任务。</w:t>
      </w:r>
      <w:r>
        <w:rPr>
          <w:rFonts w:hint="eastAsia" w:ascii="仿宋_GB2312" w:hAnsi="仿宋_GB2312" w:eastAsia="仿宋_GB2312" w:cs="仿宋_GB2312"/>
          <w:b/>
          <w:bCs/>
          <w:color w:val="auto"/>
          <w:sz w:val="32"/>
          <w:szCs w:val="32"/>
          <w:highlight w:val="none"/>
          <w:shd w:val="clear" w:color="auto" w:fill="FFFFFF"/>
          <w:lang w:val="en-US" w:eastAsia="zh-CN"/>
        </w:rPr>
        <w:t>加快推进城市更新</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b w:val="0"/>
          <w:bCs w:val="0"/>
          <w:color w:val="auto"/>
          <w:sz w:val="32"/>
          <w:szCs w:val="32"/>
          <w:highlight w:val="none"/>
          <w:shd w:val="clear" w:color="auto" w:fill="FFFFFF"/>
          <w:lang w:val="en-US" w:eastAsia="zh-CN"/>
        </w:rPr>
        <w:t>筹集保障性租赁住房270套。新增绿色建筑面积30万平方米，新开工装配式建筑面积40万平方米。开工城镇老旧小区改造36万平方米、3442户，</w:t>
      </w:r>
      <w:r>
        <w:rPr>
          <w:rFonts w:hint="eastAsia" w:ascii="仿宋_GB2312" w:hAnsi="仿宋_GB2312" w:eastAsia="仿宋_GB2312" w:cs="仿宋_GB2312"/>
          <w:b w:val="0"/>
          <w:bCs w:val="0"/>
          <w:color w:val="auto"/>
          <w:kern w:val="2"/>
          <w:sz w:val="32"/>
          <w:szCs w:val="32"/>
          <w:highlight w:val="none"/>
          <w:u w:val="none"/>
          <w:lang w:val="en-US" w:eastAsia="zh-CN" w:bidi="ar-SA"/>
        </w:rPr>
        <w:t>抢抓城中村改造政策机遇，计划启动城中村改造项目4个，共涉及35个村居。</w:t>
      </w:r>
      <w:r>
        <w:rPr>
          <w:rFonts w:hint="eastAsia" w:ascii="仿宋_GB2312" w:hAnsi="仿宋_GB2312" w:eastAsia="仿宋_GB2312" w:cs="仿宋_GB2312"/>
          <w:b w:val="0"/>
          <w:bCs w:val="0"/>
          <w:color w:val="auto"/>
          <w:sz w:val="32"/>
          <w:szCs w:val="32"/>
          <w:highlight w:val="none"/>
          <w:u w:val="none"/>
          <w:shd w:val="clear" w:color="auto" w:fill="FFFFFF"/>
        </w:rPr>
        <w:t>采取“一安置区一方案”，</w:t>
      </w:r>
      <w:r>
        <w:rPr>
          <w:rFonts w:hint="eastAsia" w:ascii="仿宋_GB2312" w:hAnsi="仿宋_GB2312" w:eastAsia="仿宋_GB2312" w:cs="仿宋_GB2312"/>
          <w:b w:val="0"/>
          <w:bCs w:val="0"/>
          <w:color w:val="auto"/>
          <w:kern w:val="2"/>
          <w:sz w:val="32"/>
          <w:szCs w:val="32"/>
          <w:highlight w:val="none"/>
          <w:u w:val="none"/>
          <w:lang w:val="en-US" w:eastAsia="zh-CN" w:bidi="ar-SA"/>
        </w:rPr>
        <w:t>加快推进更衣亭社区、丽景花园、凤凰社区等5个安置区建设，力争年内建成安置房1300套以上。</w:t>
      </w:r>
      <w:r>
        <w:rPr>
          <w:rFonts w:hint="eastAsia" w:ascii="仿宋_GB2312" w:hAnsi="仿宋_GB2312" w:eastAsia="仿宋_GB2312" w:cs="仿宋_GB2312"/>
          <w:color w:val="auto"/>
          <w:kern w:val="2"/>
          <w:sz w:val="32"/>
          <w:szCs w:val="32"/>
          <w:highlight w:val="none"/>
          <w:lang w:val="en-US" w:eastAsia="zh-CN" w:bidi="ar-SA"/>
        </w:rPr>
        <w:t>优化城市绿化面积，新建公园游园3处，新建绿道建设6公里。完善配套基础设施建设，加快推进黄河精致城市、东部片区供排水管网改造项目，完成城市排水“两个清零”任务及第一污水厂改造扩容二期建设。增加城市公用充电桩建设数量，完善新能源汽车配套服务设施。</w:t>
      </w:r>
      <w:r>
        <w:rPr>
          <w:rFonts w:hint="eastAsia" w:ascii="仿宋_GB2312" w:hAnsi="仿宋_GB2312" w:eastAsia="仿宋_GB2312" w:cs="仿宋_GB2312"/>
          <w:b/>
          <w:bCs/>
          <w:color w:val="auto"/>
          <w:kern w:val="2"/>
          <w:sz w:val="32"/>
          <w:szCs w:val="32"/>
          <w:highlight w:val="none"/>
          <w:lang w:val="en-US" w:eastAsia="zh-CN" w:bidi="ar-SA"/>
        </w:rPr>
        <w:t>优化</w:t>
      </w:r>
      <w:r>
        <w:rPr>
          <w:rFonts w:hint="eastAsia" w:ascii="仿宋_GB2312" w:hAnsi="仿宋_GB2312" w:eastAsia="仿宋_GB2312" w:cs="仿宋_GB2312"/>
          <w:b/>
          <w:bCs/>
          <w:color w:val="auto"/>
          <w:sz w:val="32"/>
          <w:szCs w:val="32"/>
          <w:highlight w:val="none"/>
          <w:shd w:val="clear" w:color="auto" w:fill="FFFFFF"/>
          <w:lang w:val="en-US" w:eastAsia="zh-CN"/>
        </w:rPr>
        <w:t>城市空间格局</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color w:val="auto"/>
          <w:kern w:val="2"/>
          <w:sz w:val="32"/>
          <w:szCs w:val="32"/>
          <w:highlight w:val="none"/>
          <w:lang w:val="en-US" w:eastAsia="zh-CN" w:bidi="ar-SA"/>
        </w:rPr>
        <w:t>突出规划引领，优化国土空间分区规划成果，编制完成滨河片区、高铁片区、起步区紧密协作区等重点区域规划，强化规划底线约束和刚性管控。力争完成批而未供、闲置土地处置任务800亩以上，加大低效企业收回清理力度，全力保障太平水库土地供应。围绕连通起步区，抓好黄河大道北延项目征地拆迁、管线迁改等工作，推进回孙路、济太路改造提升。</w:t>
      </w:r>
      <w:r>
        <w:rPr>
          <w:rFonts w:hint="eastAsia" w:ascii="仿宋_GB2312" w:hAnsi="仿宋_GB2312" w:eastAsia="仿宋_GB2312" w:cs="仿宋_GB2312"/>
          <w:b/>
          <w:bCs/>
          <w:color w:val="auto"/>
          <w:sz w:val="32"/>
          <w:szCs w:val="32"/>
          <w:highlight w:val="none"/>
          <w:shd w:val="clear" w:color="auto" w:fill="FFFFFF"/>
        </w:rPr>
        <w:t>提</w:t>
      </w:r>
      <w:r>
        <w:rPr>
          <w:rFonts w:hint="eastAsia" w:ascii="仿宋_GB2312" w:hAnsi="仿宋_GB2312" w:eastAsia="仿宋_GB2312" w:cs="仿宋_GB2312"/>
          <w:b/>
          <w:bCs/>
          <w:color w:val="auto"/>
          <w:sz w:val="32"/>
          <w:szCs w:val="32"/>
          <w:highlight w:val="none"/>
          <w:shd w:val="clear" w:color="auto" w:fill="FFFFFF"/>
          <w:lang w:val="en-US" w:eastAsia="zh-CN"/>
        </w:rPr>
        <w:t>高</w:t>
      </w:r>
      <w:r>
        <w:rPr>
          <w:rFonts w:hint="eastAsia" w:ascii="仿宋_GB2312" w:hAnsi="仿宋_GB2312" w:eastAsia="仿宋_GB2312" w:cs="仿宋_GB2312"/>
          <w:b/>
          <w:bCs/>
          <w:color w:val="auto"/>
          <w:sz w:val="32"/>
          <w:szCs w:val="32"/>
          <w:highlight w:val="none"/>
          <w:shd w:val="clear" w:color="auto" w:fill="FFFFFF"/>
        </w:rPr>
        <w:t>城市治理</w:t>
      </w:r>
      <w:r>
        <w:rPr>
          <w:rFonts w:hint="eastAsia" w:ascii="仿宋_GB2312" w:hAnsi="仿宋_GB2312" w:eastAsia="仿宋_GB2312" w:cs="仿宋_GB2312"/>
          <w:b/>
          <w:bCs/>
          <w:color w:val="auto"/>
          <w:sz w:val="32"/>
          <w:szCs w:val="32"/>
          <w:highlight w:val="none"/>
          <w:shd w:val="clear" w:color="auto" w:fill="FFFFFF"/>
          <w:lang w:val="en-US" w:eastAsia="zh-CN"/>
        </w:rPr>
        <w:t>能力</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b w:val="0"/>
          <w:color w:val="auto"/>
          <w:kern w:val="0"/>
          <w:sz w:val="32"/>
          <w:szCs w:val="32"/>
          <w:highlight w:val="none"/>
          <w:lang w:val="en-US" w:eastAsia="zh-CN" w:bidi="ar-SA"/>
        </w:rPr>
        <w:t>持续打造垃圾分类模范街镇、小区、村庄，建设垃圾分类主题公园1处。加强引导便民疏导点规范管理和示范引领建设，切实提升占道经营治理成效。全面落实公平竞争审查制度，强化市场秩序整治，力争全域推广建立80家消费维权服务站。推动城市管理现代化，进一步建设智慧城市，全面建成</w:t>
      </w:r>
      <w:r>
        <w:rPr>
          <w:rFonts w:hint="eastAsia" w:ascii="仿宋_GB2312" w:hAnsi="Calibri" w:eastAsia="仿宋_GB2312" w:cs="Times New Roman"/>
          <w:b w:val="0"/>
          <w:bCs/>
          <w:color w:val="auto"/>
          <w:kern w:val="2"/>
          <w:sz w:val="32"/>
          <w:szCs w:val="32"/>
          <w:highlight w:val="none"/>
          <w:u w:val="none"/>
          <w:lang w:val="en-US" w:eastAsia="zh-CN" w:bidi="ar-SA"/>
        </w:rPr>
        <w:t>一体化大数据平台区县应用节点，累计</w:t>
      </w:r>
      <w:r>
        <w:rPr>
          <w:rFonts w:hint="eastAsia" w:ascii="仿宋_GB2312" w:hAnsi="仿宋_GB2312" w:eastAsia="仿宋_GB2312" w:cs="仿宋_GB2312"/>
          <w:b w:val="0"/>
          <w:color w:val="auto"/>
          <w:kern w:val="0"/>
          <w:sz w:val="32"/>
          <w:szCs w:val="32"/>
          <w:highlight w:val="none"/>
          <w:lang w:val="en-US" w:eastAsia="zh-CN" w:bidi="ar-SA"/>
        </w:rPr>
        <w:t>打造17个基础型及以上智慧社区。</w:t>
      </w:r>
      <w:r>
        <w:rPr>
          <w:rFonts w:hint="eastAsia" w:ascii="仿宋_GB2312" w:hAnsi="仿宋_GB2312" w:eastAsia="仿宋_GB2312" w:cs="仿宋_GB2312"/>
          <w:b/>
          <w:bCs/>
          <w:color w:val="auto"/>
          <w:sz w:val="32"/>
          <w:szCs w:val="32"/>
          <w:highlight w:val="none"/>
          <w:shd w:val="clear" w:color="auto" w:fill="FFFFFF"/>
        </w:rPr>
        <w:t>加强生态文明建设。</w:t>
      </w:r>
      <w:r>
        <w:rPr>
          <w:rFonts w:hint="eastAsia" w:ascii="仿宋_GB2312" w:hAnsi="仿宋_GB2312" w:eastAsia="仿宋_GB2312" w:cs="仿宋_GB2312"/>
          <w:b w:val="0"/>
          <w:bCs w:val="0"/>
          <w:color w:val="auto"/>
          <w:sz w:val="32"/>
          <w:szCs w:val="32"/>
          <w:highlight w:val="none"/>
          <w:shd w:val="clear" w:color="auto" w:fill="FFFFFF"/>
          <w:lang w:val="en-US" w:eastAsia="zh-CN"/>
        </w:rPr>
        <w:t>坚决打赢打好蓝天、碧水、净土保卫战，统筹做好工业源、扬尘源、移动源专项整治工作，切实改善空气质量。实施城乡建筑、交通运输、工业、能源等重点领域碳达峰工程。新建5万千瓦背压机组项目落实“五个减量替代”，遏制“两高”项目盲目发展。推进“无废城市”建设，开展“无废工厂”“无废园区”等示范创建。全面开展黄河流域、徒骇河流域入河排污口溯源排查和土壤污染管控修复，</w:t>
      </w:r>
      <w:r>
        <w:rPr>
          <w:rFonts w:hint="eastAsia" w:ascii="仿宋_GB2312" w:hAnsi="仿宋_GB2312" w:eastAsia="仿宋_GB2312" w:cs="仿宋_GB2312"/>
          <w:color w:val="auto"/>
          <w:sz w:val="32"/>
          <w:szCs w:val="32"/>
          <w:highlight w:val="none"/>
          <w:shd w:val="clear" w:color="auto" w:fill="FFFFFF"/>
        </w:rPr>
        <w:t>巩固提升国家生态文明建设示范区创建成果。</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rPr>
          <w:rStyle w:val="21"/>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shd w:val="clear" w:color="auto" w:fill="FFFFFF"/>
        </w:rPr>
        <w:t>（五）</w:t>
      </w:r>
      <w:r>
        <w:rPr>
          <w:rFonts w:hint="eastAsia" w:ascii="楷体_GB2312" w:hAnsi="楷体_GB2312" w:eastAsia="楷体_GB2312" w:cs="楷体_GB2312"/>
          <w:color w:val="auto"/>
          <w:sz w:val="32"/>
          <w:szCs w:val="32"/>
          <w:shd w:val="clear" w:color="auto" w:fill="FFFFFF"/>
          <w:lang w:val="en-US" w:eastAsia="zh-CN"/>
        </w:rPr>
        <w:t>聚焦民需办好社会民生实事</w:t>
      </w:r>
      <w:r>
        <w:rPr>
          <w:rFonts w:hint="eastAsia" w:ascii="楷体_GB2312" w:hAnsi="楷体_GB2312" w:eastAsia="楷体_GB2312" w:cs="楷体_GB2312"/>
          <w:color w:val="auto"/>
          <w:sz w:val="32"/>
          <w:szCs w:val="32"/>
          <w:shd w:val="clear" w:color="auto" w:fill="FFFFFF"/>
        </w:rPr>
        <w:t>。</w:t>
      </w:r>
      <w:r>
        <w:rPr>
          <w:rFonts w:hint="eastAsia" w:ascii="仿宋_GB2312" w:hAnsi="仿宋_GB2312" w:eastAsia="仿宋_GB2312" w:cs="仿宋_GB2312"/>
          <w:b/>
          <w:bCs/>
          <w:color w:val="auto"/>
          <w:sz w:val="32"/>
          <w:szCs w:val="32"/>
          <w:highlight w:val="none"/>
          <w:shd w:val="clear" w:color="auto" w:fill="FFFFFF"/>
          <w:lang w:val="en-US" w:eastAsia="zh-CN"/>
        </w:rPr>
        <w:t>乡村振兴有效衔接。</w:t>
      </w:r>
      <w:r>
        <w:rPr>
          <w:rFonts w:hint="eastAsia" w:ascii="仿宋_GB2312" w:hAnsi="仿宋_GB2312" w:eastAsia="仿宋_GB2312" w:cs="仿宋_GB2312"/>
          <w:b w:val="0"/>
          <w:bCs w:val="0"/>
          <w:color w:val="auto"/>
          <w:sz w:val="32"/>
          <w:szCs w:val="32"/>
          <w:highlight w:val="none"/>
          <w:shd w:val="clear" w:color="auto" w:fill="FFFFFF"/>
          <w:lang w:val="en-US" w:eastAsia="zh-CN"/>
        </w:rPr>
        <w:t>推动仁风镇农村综合性改革试点项目，激活农村要素市场，促进农村集体和农民双增收。推进富硒西瓜数字产业园、曲堤黄瓜全产业链示范园等重点项目，擦亮“好味济南”品牌。围绕“济阳</w:t>
      </w:r>
      <w:r>
        <w:rPr>
          <w:rFonts w:hint="eastAsia" w:ascii="宋体" w:hAnsi="宋体" w:eastAsia="宋体" w:cs="宋体"/>
          <w:b w:val="0"/>
          <w:bCs w:val="0"/>
          <w:color w:val="auto"/>
          <w:sz w:val="32"/>
          <w:szCs w:val="32"/>
          <w:highlight w:val="none"/>
          <w:shd w:val="clear" w:color="auto" w:fill="FFFFFF"/>
          <w:lang w:val="en-US" w:eastAsia="zh-CN"/>
        </w:rPr>
        <w:t>＠</w:t>
      </w:r>
      <w:r>
        <w:rPr>
          <w:rFonts w:hint="eastAsia" w:ascii="仿宋_GB2312" w:hAnsi="仿宋_GB2312" w:eastAsia="仿宋_GB2312" w:cs="仿宋_GB2312"/>
          <w:b w:val="0"/>
          <w:bCs w:val="0"/>
          <w:color w:val="auto"/>
          <w:sz w:val="32"/>
          <w:szCs w:val="32"/>
          <w:highlight w:val="none"/>
          <w:shd w:val="clear" w:color="auto" w:fill="FFFFFF"/>
          <w:lang w:val="en-US" w:eastAsia="zh-CN"/>
        </w:rPr>
        <w:t>黄河”文化品牌，举办艺术节、展演等文化活动。打造“泉韵乡居”乡村振兴齐鲁样板示范区，推动农村公路建设养护、污水治理供水管网一体化推进等工作提质增效，完成59个村供水管网改造提质，力争创建和美乡村省级示范村5个。</w:t>
      </w:r>
      <w:r>
        <w:rPr>
          <w:rFonts w:hint="eastAsia" w:ascii="仿宋_GB2312" w:hAnsi="仿宋_GB2312" w:eastAsia="仿宋_GB2312" w:cs="仿宋_GB2312"/>
          <w:b w:val="0"/>
          <w:bCs w:val="0"/>
          <w:color w:val="auto"/>
          <w:sz w:val="32"/>
          <w:szCs w:val="32"/>
          <w:highlight w:val="none"/>
          <w:lang w:eastAsia="zh-CN"/>
        </w:rPr>
        <w:t>深化殡葬管理改革</w:t>
      </w:r>
      <w:r>
        <w:rPr>
          <w:rFonts w:hint="eastAsia" w:ascii="仿宋_GB2312" w:hAnsi="仿宋_GB2312" w:eastAsia="仿宋_GB2312" w:cs="仿宋_GB2312"/>
          <w:color w:val="auto"/>
          <w:sz w:val="32"/>
          <w:szCs w:val="32"/>
          <w:highlight w:val="none"/>
          <w:lang w:eastAsia="zh-CN"/>
        </w:rPr>
        <w:t>，推进移风易俗</w:t>
      </w:r>
      <w:r>
        <w:rPr>
          <w:rFonts w:hint="eastAsia" w:ascii="仿宋_GB2312" w:hAnsi="仿宋_GB2312" w:eastAsia="仿宋_GB2312" w:cs="仿宋_GB2312"/>
          <w:color w:val="auto"/>
          <w:sz w:val="32"/>
          <w:szCs w:val="32"/>
          <w:highlight w:val="none"/>
          <w:lang w:val="en-US" w:eastAsia="zh-CN"/>
        </w:rPr>
        <w:t>整治。</w:t>
      </w:r>
      <w:r>
        <w:rPr>
          <w:rFonts w:hint="eastAsia" w:ascii="仿宋_GB2312" w:hAnsi="仿宋_GB2312" w:eastAsia="仿宋_GB2312" w:cs="仿宋_GB2312"/>
          <w:b w:val="0"/>
          <w:bCs w:val="0"/>
          <w:color w:val="auto"/>
          <w:sz w:val="32"/>
          <w:szCs w:val="32"/>
          <w:highlight w:val="none"/>
          <w:shd w:val="clear" w:color="auto" w:fill="FFFFFF"/>
          <w:lang w:val="en-US" w:eastAsia="zh-CN"/>
        </w:rPr>
        <w:t>加强东西部扶贫协作工作，做好</w:t>
      </w:r>
      <w:r>
        <w:rPr>
          <w:rFonts w:hint="eastAsia" w:ascii="仿宋_GB2312" w:hAnsi="仿宋_GB2312" w:eastAsia="仿宋_GB2312" w:cs="仿宋_GB2312"/>
          <w:color w:val="auto"/>
          <w:sz w:val="32"/>
          <w:szCs w:val="32"/>
          <w:highlight w:val="none"/>
          <w:shd w:val="clear" w:color="auto" w:fill="FFFFFF"/>
        </w:rPr>
        <w:t>甘肃广河县对口支援协作。</w:t>
      </w:r>
      <w:r>
        <w:rPr>
          <w:rFonts w:hint="eastAsia" w:ascii="仿宋_GB2312" w:hAnsi="仿宋_GB2312" w:eastAsia="仿宋_GB2312" w:cs="仿宋_GB2312"/>
          <w:b/>
          <w:bCs/>
          <w:color w:val="auto"/>
          <w:sz w:val="32"/>
          <w:szCs w:val="32"/>
          <w:highlight w:val="none"/>
          <w:shd w:val="clear" w:color="auto" w:fill="FFFFFF"/>
          <w:lang w:val="en-US" w:eastAsia="zh-CN"/>
        </w:rPr>
        <w:t>全力推进</w:t>
      </w:r>
      <w:r>
        <w:rPr>
          <w:rFonts w:hint="eastAsia" w:ascii="仿宋_GB2312" w:hAnsi="仿宋_GB2312" w:eastAsia="仿宋_GB2312" w:cs="仿宋_GB2312"/>
          <w:b/>
          <w:bCs/>
          <w:color w:val="auto"/>
          <w:sz w:val="32"/>
          <w:szCs w:val="32"/>
          <w:highlight w:val="none"/>
          <w:shd w:val="clear" w:color="auto" w:fill="FFFFFF"/>
        </w:rPr>
        <w:t>社会事业。</w:t>
      </w:r>
      <w:r>
        <w:rPr>
          <w:rFonts w:hint="eastAsia" w:ascii="仿宋_GB2312" w:hAnsi="仿宋_GB2312" w:eastAsia="仿宋_GB2312" w:cs="仿宋_GB2312"/>
          <w:color w:val="auto"/>
          <w:sz w:val="32"/>
          <w:szCs w:val="32"/>
          <w:highlight w:val="none"/>
          <w:lang w:val="en-US" w:eastAsia="zh-CN"/>
        </w:rPr>
        <w:t>优化教师队伍结构，加大拔尖创新人才培养力度，推进山东省职业教育创新发展高地建设，扩建完成南湖实验小学，建成启动滨湖实验小学。</w:t>
      </w:r>
      <w:r>
        <w:rPr>
          <w:rFonts w:hint="eastAsia" w:ascii="仿宋_GB2312" w:hAnsi="仿宋_GB2312" w:eastAsia="仿宋_GB2312" w:cs="仿宋_GB2312"/>
          <w:color w:val="auto"/>
          <w:sz w:val="32"/>
          <w:szCs w:val="32"/>
          <w:lang w:val="en-US" w:eastAsia="zh-CN"/>
        </w:rPr>
        <w:t>改造提升济北社区卫生服务中心，</w:t>
      </w:r>
      <w:r>
        <w:rPr>
          <w:rFonts w:hint="eastAsia" w:ascii="仿宋_GB2312" w:hAnsi="仿宋_GB2312" w:eastAsia="仿宋_GB2312" w:cs="仿宋_GB2312"/>
          <w:color w:val="auto"/>
          <w:sz w:val="32"/>
          <w:szCs w:val="32"/>
          <w:highlight w:val="none"/>
          <w:lang w:val="en-US" w:eastAsia="zh-CN"/>
        </w:rPr>
        <w:t>加快建设基层中医阁，争创国家基层中医药工作示范区。开放运营三官庙汉墓博物馆</w:t>
      </w:r>
      <w:r>
        <w:rPr>
          <w:rFonts w:hint="eastAsia" w:ascii="仿宋_GB2312" w:hAnsi="仿宋_GB2312" w:eastAsia="仿宋_GB2312" w:cs="仿宋_GB2312"/>
          <w:bCs/>
          <w:color w:val="auto"/>
          <w:sz w:val="32"/>
          <w:szCs w:val="32"/>
          <w:highlight w:val="none"/>
          <w:lang w:val="en-US" w:eastAsia="zh-CN"/>
        </w:rPr>
        <w:t>，探索打造文旅新IP。开展鼓子秧歌等非遗项目“进校园、进社区”活动，做好非遗传承发展。</w:t>
      </w:r>
      <w:r>
        <w:rPr>
          <w:rFonts w:hint="eastAsia" w:ascii="仿宋_GB2312" w:hAnsi="仿宋_GB2312" w:eastAsia="仿宋_GB2312" w:cs="仿宋_GB2312"/>
          <w:bCs/>
          <w:color w:val="auto"/>
          <w:sz w:val="32"/>
          <w:szCs w:val="32"/>
          <w:highlight w:val="none"/>
        </w:rPr>
        <w:t>打造</w:t>
      </w:r>
      <w:r>
        <w:rPr>
          <w:rFonts w:hint="eastAsia" w:ascii="仿宋_GB2312" w:hAnsi="仿宋_GB2312" w:eastAsia="仿宋_GB2312" w:cs="仿宋_GB2312"/>
          <w:bCs/>
          <w:color w:val="auto"/>
          <w:sz w:val="32"/>
          <w:szCs w:val="32"/>
          <w:highlight w:val="none"/>
          <w:lang w:val="en-US" w:eastAsia="zh-CN"/>
        </w:rPr>
        <w:t>宣传</w:t>
      </w:r>
      <w:r>
        <w:rPr>
          <w:rFonts w:hint="eastAsia" w:ascii="仿宋_GB2312" w:hAnsi="仿宋_GB2312" w:eastAsia="仿宋_GB2312" w:cs="仿宋_GB2312"/>
          <w:bCs/>
          <w:color w:val="auto"/>
          <w:sz w:val="32"/>
          <w:szCs w:val="32"/>
          <w:highlight w:val="none"/>
        </w:rPr>
        <w:t>“济北手造”</w:t>
      </w:r>
      <w:r>
        <w:rPr>
          <w:rFonts w:hint="eastAsia" w:ascii="仿宋_GB2312" w:hAnsi="仿宋_GB2312" w:eastAsia="仿宋_GB2312" w:cs="仿宋_GB2312"/>
          <w:bCs/>
          <w:color w:val="auto"/>
          <w:sz w:val="32"/>
          <w:szCs w:val="32"/>
          <w:highlight w:val="none"/>
          <w:lang w:val="en-US" w:eastAsia="zh-CN"/>
        </w:rPr>
        <w:t>系列</w:t>
      </w:r>
      <w:r>
        <w:rPr>
          <w:rFonts w:hint="eastAsia" w:ascii="仿宋_GB2312" w:hAnsi="仿宋_GB2312" w:eastAsia="仿宋_GB2312" w:cs="仿宋_GB2312"/>
          <w:bCs/>
          <w:color w:val="auto"/>
          <w:sz w:val="32"/>
          <w:szCs w:val="32"/>
          <w:highlight w:val="none"/>
        </w:rPr>
        <w:t>产品，</w:t>
      </w:r>
      <w:r>
        <w:rPr>
          <w:rFonts w:hint="eastAsia" w:ascii="仿宋_GB2312" w:hAnsi="仿宋_GB2312" w:eastAsia="仿宋_GB2312" w:cs="仿宋_GB2312"/>
          <w:bCs/>
          <w:color w:val="auto"/>
          <w:sz w:val="32"/>
          <w:szCs w:val="32"/>
          <w:highlight w:val="none"/>
          <w:lang w:val="en-US" w:eastAsia="zh-CN"/>
        </w:rPr>
        <w:t>对接山东高速等企业，拓宽展销渠道。</w:t>
      </w:r>
      <w:r>
        <w:rPr>
          <w:rFonts w:hint="eastAsia" w:ascii="仿宋_GB2312" w:hAnsi="仿宋_GB2312" w:eastAsia="仿宋_GB2312" w:cs="仿宋_GB2312"/>
          <w:b/>
          <w:bCs/>
          <w:color w:val="auto"/>
          <w:sz w:val="32"/>
          <w:szCs w:val="32"/>
          <w:highlight w:val="none"/>
          <w:shd w:val="clear" w:color="auto" w:fill="FFFFFF"/>
        </w:rPr>
        <w:t>社会保障</w:t>
      </w:r>
      <w:r>
        <w:rPr>
          <w:rFonts w:hint="eastAsia" w:ascii="仿宋_GB2312" w:hAnsi="仿宋_GB2312" w:eastAsia="仿宋_GB2312" w:cs="仿宋_GB2312"/>
          <w:b/>
          <w:bCs/>
          <w:color w:val="auto"/>
          <w:sz w:val="32"/>
          <w:szCs w:val="32"/>
          <w:highlight w:val="none"/>
          <w:shd w:val="clear" w:color="auto" w:fill="FFFFFF"/>
          <w:lang w:val="en-US" w:eastAsia="zh-CN"/>
        </w:rPr>
        <w:t>优化完善</w:t>
      </w:r>
      <w:r>
        <w:rPr>
          <w:rFonts w:hint="eastAsia" w:ascii="仿宋_GB2312" w:hAnsi="仿宋_GB2312" w:eastAsia="仿宋_GB2312" w:cs="仿宋_GB2312"/>
          <w:b/>
          <w:bCs/>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rPr>
        <w:t>加强养老机构和养老设施综合监管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建设家庭养老床位150张，打造农村幸福院长者助餐示范点10个</w:t>
      </w:r>
      <w:r>
        <w:rPr>
          <w:rFonts w:hint="eastAsia" w:ascii="仿宋_GB2312" w:hAnsi="仿宋_GB2312" w:eastAsia="仿宋_GB2312" w:cs="仿宋_GB2312"/>
          <w:b w:val="0"/>
          <w:bCs w:val="0"/>
          <w:color w:val="auto"/>
          <w:sz w:val="32"/>
          <w:szCs w:val="32"/>
          <w:highlight w:val="none"/>
          <w:lang w:val="en-US" w:eastAsia="zh-CN"/>
        </w:rPr>
        <w:t>。实施“全民参保”计划，大力推广电子社保卡，</w:t>
      </w:r>
      <w:r>
        <w:rPr>
          <w:rFonts w:hint="eastAsia" w:ascii="仿宋_GB2312" w:hAnsi="仿宋_GB2312" w:eastAsia="仿宋_GB2312" w:cs="仿宋_GB2312"/>
          <w:color w:val="auto"/>
          <w:kern w:val="2"/>
          <w:sz w:val="32"/>
          <w:szCs w:val="32"/>
          <w:highlight w:val="none"/>
          <w:lang w:val="en-US" w:eastAsia="zh-CN" w:bidi="ar-SA"/>
        </w:rPr>
        <w:t>职工医保统筹支付限额提高1500元，大额医疗费二次支付起付线降低2000元。加强对低保、特困供养、经济困难老年人、孤困儿童等弱势群体的救助关爱力度。加强食品药品安全监管，确保顺利通过省级食品安全区复审。结合“人才夜市”等新型招聘形式，打造企业用工和人才“蓄水池”，</w:t>
      </w:r>
      <w:r>
        <w:rPr>
          <w:rFonts w:hint="eastAsia" w:ascii="仿宋_GB2312" w:hAnsi="仿宋_GB2312" w:eastAsia="仿宋_GB2312" w:cs="仿宋_GB2312"/>
          <w:b w:val="0"/>
          <w:bCs w:val="0"/>
          <w:color w:val="auto"/>
          <w:sz w:val="32"/>
          <w:szCs w:val="32"/>
          <w:highlight w:val="none"/>
          <w:shd w:val="clear" w:color="auto" w:fill="FFFFFF"/>
          <w:lang w:val="en-US" w:eastAsia="zh-CN"/>
        </w:rPr>
        <w:t>实现新增城镇就业2400人以上</w:t>
      </w:r>
      <w:r>
        <w:rPr>
          <w:rFonts w:hint="eastAsia" w:ascii="仿宋_GB2312" w:hAnsi="仿宋_GB2312" w:eastAsia="仿宋_GB2312" w:cs="仿宋_GB2312"/>
          <w:color w:val="auto"/>
          <w:kern w:val="2"/>
          <w:sz w:val="32"/>
          <w:szCs w:val="32"/>
          <w:highlight w:val="none"/>
          <w:lang w:val="en-US" w:eastAsia="zh-CN" w:bidi="ar-SA"/>
        </w:rPr>
        <w:t>。力争全年为800名残疾人适配辅具1000件以上，完成500户残疾人家庭无障碍设施改造。</w:t>
      </w:r>
      <w:r>
        <w:rPr>
          <w:rStyle w:val="21"/>
          <w:rFonts w:hint="eastAsia" w:ascii="仿宋_GB2312" w:hAnsi="仿宋_GB2312" w:eastAsia="仿宋_GB2312" w:cs="仿宋_GB2312"/>
          <w:b/>
          <w:bCs/>
          <w:color w:val="auto"/>
          <w:sz w:val="32"/>
          <w:szCs w:val="32"/>
          <w:highlight w:val="none"/>
        </w:rPr>
        <w:t>健全社会治理体系。</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落实“八五”普法规划，推广完善“三点四线网格化”普法体系。扩大法律援助受众面，全年计划完成法律援助案件700件。深化信访积案和突出问题化解攻坚，提升市域社会治理现代化水平。</w:t>
      </w:r>
      <w:r>
        <w:rPr>
          <w:rFonts w:hint="eastAsia" w:ascii="仿宋_GB2312" w:hAnsi="仿宋_GB2312" w:eastAsia="仿宋_GB2312" w:cs="仿宋_GB2312"/>
          <w:color w:val="auto"/>
          <w:sz w:val="32"/>
          <w:szCs w:val="32"/>
          <w:highlight w:val="none"/>
        </w:rPr>
        <w:t>常态化开展扫黑除恶斗争，严厉打击整治电信网络诈骗，打好新一轮禁毒人民战争，推进未成年人违法犯罪综合治理。</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编制全区应急物资储备“一张图”和储备调运“一张网”，建立应急物资储备数据库和快速调配、采购机制。</w:t>
      </w:r>
      <w:r>
        <w:rPr>
          <w:rStyle w:val="21"/>
          <w:rFonts w:hint="eastAsia" w:ascii="仿宋_GB2312" w:hAnsi="仿宋_GB2312" w:eastAsia="仿宋_GB2312" w:cs="仿宋_GB2312"/>
          <w:b/>
          <w:bCs/>
          <w:color w:val="auto"/>
          <w:sz w:val="32"/>
          <w:szCs w:val="32"/>
          <w:highlight w:val="none"/>
        </w:rPr>
        <w:t>全面统筹民生事业。</w:t>
      </w:r>
      <w:r>
        <w:rPr>
          <w:rStyle w:val="21"/>
          <w:rFonts w:hint="eastAsia" w:ascii="仿宋_GB2312" w:hAnsi="仿宋_GB2312" w:eastAsia="仿宋_GB2312" w:cs="仿宋_GB2312"/>
          <w:b w:val="0"/>
          <w:bCs w:val="0"/>
          <w:color w:val="auto"/>
          <w:sz w:val="32"/>
          <w:szCs w:val="32"/>
          <w:highlight w:val="none"/>
          <w:lang w:val="en-US"/>
        </w:rPr>
        <w:t>深化拓展新时代文明实践中心建设，擦亮“爱暖济阳”文明实践品牌。高质高效完成第五次全国经济普查。加快建设青年发展友好型城区，全面构建有利于青年发展的良好环境。办好民生实事，</w:t>
      </w:r>
      <w:r>
        <w:rPr>
          <w:rStyle w:val="21"/>
          <w:rFonts w:hint="eastAsia" w:ascii="仿宋_GB2312" w:hAnsi="仿宋_GB2312" w:eastAsia="仿宋_GB2312" w:cs="仿宋_GB2312"/>
          <w:color w:val="auto"/>
          <w:sz w:val="32"/>
          <w:szCs w:val="32"/>
          <w:highlight w:val="none"/>
        </w:rPr>
        <w:t>统筹发展老龄、红十字、妇女儿童、慈善等各项事业，做好政务服务、民族宗教、人影气象、水文事业、史志档案、双拥共建、外事侨务、退役军人事务、全民国防教育、审计统计等工作。</w:t>
      </w:r>
    </w:p>
    <w:p>
      <w:pPr>
        <w:rPr>
          <w:rFonts w:hint="eastAsia"/>
        </w:rPr>
      </w:pPr>
    </w:p>
    <w:p>
      <w:pPr>
        <w:bidi w:val="0"/>
        <w:rPr>
          <w:rFonts w:hint="eastAsia" w:ascii="Times New Roman" w:hAnsi="Times New Roman"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tbl>
      <w:tblPr>
        <w:tblStyle w:val="15"/>
        <w:tblpPr w:leftFromText="180" w:rightFromText="180" w:vertAnchor="text" w:horzAnchor="page" w:tblpX="1514" w:tblpY="7292"/>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840" w:type="dxa"/>
            <w:tcBorders>
              <w:left w:val="nil"/>
              <w:right w:val="nil"/>
            </w:tcBorders>
          </w:tcPr>
          <w:p>
            <w:pPr>
              <w:spacing w:line="500" w:lineRule="exact"/>
              <w:jc w:val="center"/>
              <w:rPr>
                <w:rFonts w:ascii="仿宋_GB2312" w:hAnsi="宋体" w:eastAsia="仿宋_GB2312" w:cs="宋体"/>
                <w:sz w:val="28"/>
                <w:szCs w:val="28"/>
              </w:rPr>
            </w:pPr>
            <w:r>
              <w:rPr>
                <w:rFonts w:hint="eastAsia" w:ascii="仿宋_GB2312" w:hAnsi="仿宋_GB2312" w:eastAsia="仿宋_GB2312" w:cs="仿宋_GB2312"/>
                <w:sz w:val="28"/>
                <w:szCs w:val="28"/>
              </w:rPr>
              <w:t>济南市济阳区人民政府办公室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ascii="仿宋_GB2312" w:hAnsi="仿宋_GB2312" w:eastAsia="仿宋_GB2312" w:cs="仿宋_GB2312"/>
                <w:sz w:val="28"/>
                <w:szCs w:val="28"/>
              </w:rPr>
              <w:t>日印发</w:t>
            </w:r>
          </w:p>
        </w:tc>
      </w:tr>
    </w:tbl>
    <w:p>
      <w:pPr>
        <w:bidi w:val="0"/>
        <w:jc w:val="left"/>
        <w:rPr>
          <w:rFonts w:hint="eastAsia"/>
          <w:lang w:val="en-US" w:eastAsia="zh-CN"/>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文星标宋">
    <w:altName w:val="微软雅黑"/>
    <w:panose1 w:val="00000000000000000000"/>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YmQ1NTY2ZmRhODg3MTI3ODY3YjEyODQ0M2Y3NGIifQ=="/>
  </w:docVars>
  <w:rsids>
    <w:rsidRoot w:val="21A8276C"/>
    <w:rsid w:val="000105B7"/>
    <w:rsid w:val="00204539"/>
    <w:rsid w:val="004D24BE"/>
    <w:rsid w:val="00500BC6"/>
    <w:rsid w:val="00664F8A"/>
    <w:rsid w:val="006B54AE"/>
    <w:rsid w:val="00720B0D"/>
    <w:rsid w:val="008029AC"/>
    <w:rsid w:val="00822092"/>
    <w:rsid w:val="008B6A73"/>
    <w:rsid w:val="009368EB"/>
    <w:rsid w:val="00BA320B"/>
    <w:rsid w:val="00E17678"/>
    <w:rsid w:val="00E94C50"/>
    <w:rsid w:val="00E955AF"/>
    <w:rsid w:val="017D7424"/>
    <w:rsid w:val="017E162C"/>
    <w:rsid w:val="0223068C"/>
    <w:rsid w:val="038A1E69"/>
    <w:rsid w:val="03B44E81"/>
    <w:rsid w:val="04036D70"/>
    <w:rsid w:val="04F36E3B"/>
    <w:rsid w:val="05113C8A"/>
    <w:rsid w:val="05C07B0D"/>
    <w:rsid w:val="05D80DE2"/>
    <w:rsid w:val="05F70FAB"/>
    <w:rsid w:val="060C17BC"/>
    <w:rsid w:val="063C62F1"/>
    <w:rsid w:val="06AB0115"/>
    <w:rsid w:val="06AE1AFF"/>
    <w:rsid w:val="06C13B3D"/>
    <w:rsid w:val="07542753"/>
    <w:rsid w:val="07A64A89"/>
    <w:rsid w:val="08845DC3"/>
    <w:rsid w:val="09296407"/>
    <w:rsid w:val="09606B8F"/>
    <w:rsid w:val="096C4C24"/>
    <w:rsid w:val="098A5A52"/>
    <w:rsid w:val="09AB17C8"/>
    <w:rsid w:val="0AD61A2E"/>
    <w:rsid w:val="0AE853BC"/>
    <w:rsid w:val="0B555CC9"/>
    <w:rsid w:val="0CB075BA"/>
    <w:rsid w:val="0CE81CB3"/>
    <w:rsid w:val="0D3A61D9"/>
    <w:rsid w:val="0DEA750C"/>
    <w:rsid w:val="0E8B0FDF"/>
    <w:rsid w:val="0EA87391"/>
    <w:rsid w:val="0EEA103F"/>
    <w:rsid w:val="0F07055B"/>
    <w:rsid w:val="0F4A372C"/>
    <w:rsid w:val="0F5361FB"/>
    <w:rsid w:val="0FCE1079"/>
    <w:rsid w:val="0FDD306A"/>
    <w:rsid w:val="10516702"/>
    <w:rsid w:val="10CD6AFE"/>
    <w:rsid w:val="11B156EA"/>
    <w:rsid w:val="11F3459C"/>
    <w:rsid w:val="12E73A1C"/>
    <w:rsid w:val="138A13ED"/>
    <w:rsid w:val="144A0FE8"/>
    <w:rsid w:val="14535FF1"/>
    <w:rsid w:val="14787787"/>
    <w:rsid w:val="14A8633C"/>
    <w:rsid w:val="14D61D01"/>
    <w:rsid w:val="16935A04"/>
    <w:rsid w:val="171E4694"/>
    <w:rsid w:val="17EB4EE6"/>
    <w:rsid w:val="18495740"/>
    <w:rsid w:val="196C1A2A"/>
    <w:rsid w:val="196C3588"/>
    <w:rsid w:val="1A7A242D"/>
    <w:rsid w:val="1B032591"/>
    <w:rsid w:val="1B937BED"/>
    <w:rsid w:val="1B9931CC"/>
    <w:rsid w:val="1BFE62F9"/>
    <w:rsid w:val="1D766DC1"/>
    <w:rsid w:val="1E480EDC"/>
    <w:rsid w:val="1ED02718"/>
    <w:rsid w:val="1F3551AE"/>
    <w:rsid w:val="1FFC40B4"/>
    <w:rsid w:val="2064724F"/>
    <w:rsid w:val="20732076"/>
    <w:rsid w:val="20E406FC"/>
    <w:rsid w:val="20F755BB"/>
    <w:rsid w:val="21376743"/>
    <w:rsid w:val="215E1F2C"/>
    <w:rsid w:val="216F1AD3"/>
    <w:rsid w:val="21A8276C"/>
    <w:rsid w:val="21BB449B"/>
    <w:rsid w:val="21EE4023"/>
    <w:rsid w:val="22153965"/>
    <w:rsid w:val="22792D1D"/>
    <w:rsid w:val="22AA56A8"/>
    <w:rsid w:val="22D040FB"/>
    <w:rsid w:val="22FA4903"/>
    <w:rsid w:val="23A10B26"/>
    <w:rsid w:val="23B56380"/>
    <w:rsid w:val="24AA48A4"/>
    <w:rsid w:val="24E32685"/>
    <w:rsid w:val="25076767"/>
    <w:rsid w:val="25727210"/>
    <w:rsid w:val="25EE37D4"/>
    <w:rsid w:val="262F5BC1"/>
    <w:rsid w:val="267747CC"/>
    <w:rsid w:val="2816750C"/>
    <w:rsid w:val="28EB74FF"/>
    <w:rsid w:val="28FF7FE5"/>
    <w:rsid w:val="292A49D4"/>
    <w:rsid w:val="2A1873E1"/>
    <w:rsid w:val="2A4163FA"/>
    <w:rsid w:val="2A820482"/>
    <w:rsid w:val="2ABE1FBE"/>
    <w:rsid w:val="2CC20AA7"/>
    <w:rsid w:val="2DA16A4B"/>
    <w:rsid w:val="2ED658FB"/>
    <w:rsid w:val="2F551D55"/>
    <w:rsid w:val="30C0671D"/>
    <w:rsid w:val="315C00D4"/>
    <w:rsid w:val="32E5153A"/>
    <w:rsid w:val="33803724"/>
    <w:rsid w:val="33B91574"/>
    <w:rsid w:val="347B6703"/>
    <w:rsid w:val="348456DA"/>
    <w:rsid w:val="34884FD5"/>
    <w:rsid w:val="34FD36E3"/>
    <w:rsid w:val="35050C1D"/>
    <w:rsid w:val="368D471D"/>
    <w:rsid w:val="36C30C3F"/>
    <w:rsid w:val="379F6509"/>
    <w:rsid w:val="398E6420"/>
    <w:rsid w:val="3AD5347B"/>
    <w:rsid w:val="3B60588E"/>
    <w:rsid w:val="3B992CA8"/>
    <w:rsid w:val="3BA877F6"/>
    <w:rsid w:val="3BF82CEC"/>
    <w:rsid w:val="3C0D4B53"/>
    <w:rsid w:val="3DA55360"/>
    <w:rsid w:val="3E366CDC"/>
    <w:rsid w:val="3E716D81"/>
    <w:rsid w:val="3EB9208C"/>
    <w:rsid w:val="3F1A11DC"/>
    <w:rsid w:val="3FFB24F3"/>
    <w:rsid w:val="415154E1"/>
    <w:rsid w:val="41827120"/>
    <w:rsid w:val="43120971"/>
    <w:rsid w:val="43B345E1"/>
    <w:rsid w:val="43FF6362"/>
    <w:rsid w:val="445C61C0"/>
    <w:rsid w:val="45250832"/>
    <w:rsid w:val="45761AB8"/>
    <w:rsid w:val="46013BD4"/>
    <w:rsid w:val="461B7E66"/>
    <w:rsid w:val="464B659D"/>
    <w:rsid w:val="46845A12"/>
    <w:rsid w:val="470422AA"/>
    <w:rsid w:val="478D36EC"/>
    <w:rsid w:val="47CB18F0"/>
    <w:rsid w:val="47F92430"/>
    <w:rsid w:val="48205C0E"/>
    <w:rsid w:val="48396CD0"/>
    <w:rsid w:val="48403BBB"/>
    <w:rsid w:val="485052AE"/>
    <w:rsid w:val="48F56A1A"/>
    <w:rsid w:val="4941408E"/>
    <w:rsid w:val="496A1AFD"/>
    <w:rsid w:val="4AF501F4"/>
    <w:rsid w:val="4B065C06"/>
    <w:rsid w:val="4B3134C1"/>
    <w:rsid w:val="4B7C0DDC"/>
    <w:rsid w:val="4BDB3770"/>
    <w:rsid w:val="4C811809"/>
    <w:rsid w:val="4CAE5394"/>
    <w:rsid w:val="4E040982"/>
    <w:rsid w:val="4E080E3B"/>
    <w:rsid w:val="4E237AD4"/>
    <w:rsid w:val="4E402045"/>
    <w:rsid w:val="4F0B3174"/>
    <w:rsid w:val="4FF41DA7"/>
    <w:rsid w:val="501C00B5"/>
    <w:rsid w:val="501F521E"/>
    <w:rsid w:val="50932FF8"/>
    <w:rsid w:val="50C27DFF"/>
    <w:rsid w:val="518F7191"/>
    <w:rsid w:val="51F32D46"/>
    <w:rsid w:val="5243791B"/>
    <w:rsid w:val="529BEC94"/>
    <w:rsid w:val="52A80F18"/>
    <w:rsid w:val="52B52B39"/>
    <w:rsid w:val="52CC46D6"/>
    <w:rsid w:val="533231DD"/>
    <w:rsid w:val="53560DC7"/>
    <w:rsid w:val="53A40958"/>
    <w:rsid w:val="542776BF"/>
    <w:rsid w:val="55405F55"/>
    <w:rsid w:val="5579070C"/>
    <w:rsid w:val="564B4AE1"/>
    <w:rsid w:val="56C770BC"/>
    <w:rsid w:val="56CD51B3"/>
    <w:rsid w:val="5767715E"/>
    <w:rsid w:val="57D21E28"/>
    <w:rsid w:val="58B0008E"/>
    <w:rsid w:val="58EF1411"/>
    <w:rsid w:val="59B36457"/>
    <w:rsid w:val="5A3F293B"/>
    <w:rsid w:val="5A56101C"/>
    <w:rsid w:val="5A7F463C"/>
    <w:rsid w:val="5BCFB124"/>
    <w:rsid w:val="5BFF3D04"/>
    <w:rsid w:val="5D465F1E"/>
    <w:rsid w:val="5D7661A8"/>
    <w:rsid w:val="5EF34531"/>
    <w:rsid w:val="5F1D2186"/>
    <w:rsid w:val="5F378711"/>
    <w:rsid w:val="5F7C4C3F"/>
    <w:rsid w:val="5FD7ADC8"/>
    <w:rsid w:val="5FDF1374"/>
    <w:rsid w:val="5FEB0458"/>
    <w:rsid w:val="60323597"/>
    <w:rsid w:val="60821011"/>
    <w:rsid w:val="609749F5"/>
    <w:rsid w:val="60B01C2C"/>
    <w:rsid w:val="614C1DDE"/>
    <w:rsid w:val="617443F0"/>
    <w:rsid w:val="626A0244"/>
    <w:rsid w:val="627B3D15"/>
    <w:rsid w:val="62B53514"/>
    <w:rsid w:val="6387434B"/>
    <w:rsid w:val="65667EEB"/>
    <w:rsid w:val="65971948"/>
    <w:rsid w:val="65A97A63"/>
    <w:rsid w:val="667F5077"/>
    <w:rsid w:val="66805937"/>
    <w:rsid w:val="68EB164E"/>
    <w:rsid w:val="68FC60A6"/>
    <w:rsid w:val="6A365FD2"/>
    <w:rsid w:val="6A51216A"/>
    <w:rsid w:val="6A6F7879"/>
    <w:rsid w:val="6AAE1120"/>
    <w:rsid w:val="6C1C1E9F"/>
    <w:rsid w:val="6CCF5389"/>
    <w:rsid w:val="6CDD49A9"/>
    <w:rsid w:val="6CEC63FC"/>
    <w:rsid w:val="6D2356D5"/>
    <w:rsid w:val="6D34343E"/>
    <w:rsid w:val="6D5C2995"/>
    <w:rsid w:val="6FAC62A8"/>
    <w:rsid w:val="6FB611E2"/>
    <w:rsid w:val="6FC06753"/>
    <w:rsid w:val="7035628C"/>
    <w:rsid w:val="70D11434"/>
    <w:rsid w:val="713C4DAE"/>
    <w:rsid w:val="722C25D6"/>
    <w:rsid w:val="72EA3837"/>
    <w:rsid w:val="732B08D3"/>
    <w:rsid w:val="735C58E7"/>
    <w:rsid w:val="73BE103B"/>
    <w:rsid w:val="746D4306"/>
    <w:rsid w:val="75D61CCC"/>
    <w:rsid w:val="76D87A1F"/>
    <w:rsid w:val="77E872FF"/>
    <w:rsid w:val="78DD33D7"/>
    <w:rsid w:val="795549EE"/>
    <w:rsid w:val="79F528E1"/>
    <w:rsid w:val="7A266805"/>
    <w:rsid w:val="7A8F5CC2"/>
    <w:rsid w:val="7A9279F6"/>
    <w:rsid w:val="7BEE0AE8"/>
    <w:rsid w:val="7CFF3059"/>
    <w:rsid w:val="7DB0023B"/>
    <w:rsid w:val="7DEC0B58"/>
    <w:rsid w:val="7E9E696A"/>
    <w:rsid w:val="7EDC56E4"/>
    <w:rsid w:val="7EF86055"/>
    <w:rsid w:val="7F01124F"/>
    <w:rsid w:val="7F8E2BA0"/>
    <w:rsid w:val="7FD1719B"/>
    <w:rsid w:val="8FE55243"/>
    <w:rsid w:val="BBDD9E18"/>
    <w:rsid w:val="BD7F7A7B"/>
    <w:rsid w:val="BFB78782"/>
    <w:rsid w:val="D61F2EBA"/>
    <w:rsid w:val="DBFF0B94"/>
    <w:rsid w:val="E9FFE17C"/>
    <w:rsid w:val="EFDAC262"/>
    <w:rsid w:val="F37AE122"/>
    <w:rsid w:val="FD87093E"/>
    <w:rsid w:val="FE3D9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autoRedefine/>
    <w:qFormat/>
    <w:uiPriority w:val="99"/>
    <w:pPr>
      <w:keepNext/>
      <w:keepLines/>
      <w:spacing w:before="260" w:after="260" w:line="416" w:lineRule="auto"/>
      <w:outlineLvl w:val="1"/>
    </w:pPr>
    <w:rPr>
      <w:rFonts w:ascii="等线 Light" w:hAnsi="等线 Light" w:eastAsia="等线 Light" w:cs="等线 Light"/>
      <w:b/>
      <w:bCs/>
      <w:sz w:val="32"/>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4">
    <w:name w:val="annotation text"/>
    <w:basedOn w:val="1"/>
    <w:autoRedefine/>
    <w:qFormat/>
    <w:uiPriority w:val="0"/>
    <w:pPr>
      <w:jc w:val="left"/>
    </w:pPr>
  </w:style>
  <w:style w:type="paragraph" w:styleId="5">
    <w:name w:val="Body Text Indent"/>
    <w:basedOn w:val="1"/>
    <w:next w:val="6"/>
    <w:autoRedefine/>
    <w:qFormat/>
    <w:uiPriority w:val="99"/>
    <w:pPr>
      <w:spacing w:after="120"/>
      <w:ind w:left="420" w:leftChars="200"/>
    </w:pPr>
    <w:rPr>
      <w:rFonts w:ascii="Calibri" w:hAnsi="Calibri"/>
      <w:szCs w:val="24"/>
    </w:rPr>
  </w:style>
  <w:style w:type="paragraph" w:styleId="6">
    <w:name w:val="Body Text First Indent"/>
    <w:basedOn w:val="2"/>
    <w:autoRedefine/>
    <w:qFormat/>
    <w:uiPriority w:val="0"/>
    <w:pPr>
      <w:ind w:firstLine="100" w:firstLineChars="100"/>
    </w:pPr>
    <w:rPr>
      <w:rFonts w:ascii="宋体"/>
      <w:sz w:val="24"/>
    </w:rPr>
  </w:style>
  <w:style w:type="paragraph" w:styleId="7">
    <w:name w:val="Date"/>
    <w:basedOn w:val="1"/>
    <w:next w:val="1"/>
    <w:autoRedefine/>
    <w:qFormat/>
    <w:uiPriority w:val="0"/>
  </w:style>
  <w:style w:type="paragraph" w:styleId="8">
    <w:name w:val="Body Text Indent 2"/>
    <w:basedOn w:val="1"/>
    <w:autoRedefine/>
    <w:qFormat/>
    <w:uiPriority w:val="0"/>
    <w:pPr>
      <w:spacing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semiHidden/>
    <w:qFormat/>
    <w:uiPriority w:val="0"/>
    <w:pPr>
      <w:widowControl/>
      <w:tabs>
        <w:tab w:val="right" w:leader="dot" w:pos="9060"/>
      </w:tabs>
      <w:spacing w:after="100" w:line="600" w:lineRule="exact"/>
      <w:jc w:val="left"/>
    </w:pPr>
    <w:rPr>
      <w:kern w:val="0"/>
      <w:sz w:val="22"/>
    </w:rPr>
  </w:style>
  <w:style w:type="paragraph" w:styleId="1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Body Text First Indent 2"/>
    <w:basedOn w:val="5"/>
    <w:next w:val="14"/>
    <w:autoRedefine/>
    <w:qFormat/>
    <w:uiPriority w:val="99"/>
    <w:pPr>
      <w:ind w:firstLine="420" w:firstLineChars="200"/>
    </w:pPr>
    <w:rPr>
      <w:szCs w:val="22"/>
    </w:rPr>
  </w:style>
  <w:style w:type="paragraph" w:customStyle="1" w:styleId="14">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
    <w:name w:val="样式 正文文本缩进 + 行距: 1.5 倍行距"/>
    <w:basedOn w:val="1"/>
    <w:autoRedefine/>
    <w:qFormat/>
    <w:uiPriority w:val="0"/>
    <w:pPr>
      <w:spacing w:after="120" w:line="360" w:lineRule="auto"/>
      <w:ind w:left="90" w:leftChars="32" w:firstLine="560" w:firstLineChars="200"/>
    </w:pPr>
    <w:rPr>
      <w:sz w:val="24"/>
    </w:rPr>
  </w:style>
  <w:style w:type="character" w:customStyle="1" w:styleId="18">
    <w:name w:val="新的正文 Char"/>
    <w:link w:val="19"/>
    <w:autoRedefine/>
    <w:qFormat/>
    <w:uiPriority w:val="0"/>
    <w:rPr>
      <w:rFonts w:ascii="Times New Roman" w:hAnsi="Times New Roman"/>
      <w:sz w:val="32"/>
    </w:rPr>
  </w:style>
  <w:style w:type="paragraph" w:customStyle="1" w:styleId="19">
    <w:name w:val="新的正文"/>
    <w:basedOn w:val="1"/>
    <w:link w:val="18"/>
    <w:autoRedefine/>
    <w:qFormat/>
    <w:uiPriority w:val="0"/>
    <w:rPr>
      <w:sz w:val="32"/>
    </w:rPr>
  </w:style>
  <w:style w:type="paragraph" w:styleId="20">
    <w:name w:val="List Paragraph"/>
    <w:basedOn w:val="1"/>
    <w:autoRedefine/>
    <w:qFormat/>
    <w:uiPriority w:val="34"/>
    <w:pPr>
      <w:ind w:firstLine="420" w:firstLineChars="200"/>
    </w:pPr>
    <w:rPr>
      <w:rFonts w:ascii="等线" w:hAnsi="等线" w:eastAsia="等线" w:cs="Arial"/>
    </w:rPr>
  </w:style>
  <w:style w:type="character" w:customStyle="1" w:styleId="21">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1071</Words>
  <Characters>6107</Characters>
  <Lines>50</Lines>
  <Paragraphs>14</Paragraphs>
  <TotalTime>4</TotalTime>
  <ScaleCrop>false</ScaleCrop>
  <LinksUpToDate>false</LinksUpToDate>
  <CharactersWithSpaces>7164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2022-11-12T02:16:00Z</dcterms:created>
  <dc:creator>赵学菊</dc:creator>
  <cp:lastModifiedBy>三月初一</cp:lastModifiedBy>
  <cp:lastPrinted>2024-02-01T06:51:00Z</cp:lastPrinted>
  <dcterms:modified xsi:type="dcterms:W3CDTF">2024-03-05T01:13:55Z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0B4D06381201462CB7A5A7B19DEC2A9E_13</vt:lpwstr>
  </property>
</Properties>
</file>