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8D71D">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41357335">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58D8022B">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5F7F6726">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68C0A02E">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1DADCF54">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0CB24BBB">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32BDE1D2">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ascii="仿宋_GB2312" w:hAnsi="仿宋_GB2312" w:eastAsia="仿宋_GB2312" w:cs="仿宋_GB2312"/>
          <w:sz w:val="32"/>
          <w:szCs w:val="22"/>
          <w:lang w:val="en-US" w:eastAsia="zh-CN"/>
        </w:rPr>
      </w:pPr>
      <w:r>
        <w:rPr>
          <w:rFonts w:hint="eastAsia" w:ascii="仿宋_GB2312" w:hAnsi="仿宋_GB2312" w:cs="仿宋_GB2312"/>
          <w:sz w:val="32"/>
          <w:szCs w:val="22"/>
          <w:lang w:val="en-US" w:eastAsia="zh-CN"/>
        </w:rPr>
        <w:t>济阳政办发</w:t>
      </w:r>
      <w:r>
        <w:rPr>
          <w:rFonts w:hint="eastAsia" w:ascii="仿宋_GB2312" w:hAnsi="仿宋_GB2312" w:eastAsia="仿宋_GB2312" w:cs="仿宋_GB2312"/>
          <w:sz w:val="32"/>
          <w:szCs w:val="22"/>
          <w:lang w:val="en-US" w:eastAsia="zh-CN"/>
        </w:rPr>
        <w:t>〔</w:t>
      </w:r>
      <w:r>
        <w:rPr>
          <w:rFonts w:hint="eastAsia" w:ascii="仿宋_GB2312" w:hAnsi="仿宋_GB2312" w:cs="仿宋_GB2312"/>
          <w:sz w:val="32"/>
          <w:szCs w:val="22"/>
          <w:lang w:val="en-US" w:eastAsia="zh-CN"/>
        </w:rPr>
        <w:t>2024</w:t>
      </w:r>
      <w:r>
        <w:rPr>
          <w:rFonts w:hint="eastAsia" w:ascii="仿宋_GB2312" w:hAnsi="仿宋_GB2312" w:eastAsia="仿宋_GB2312" w:cs="仿宋_GB2312"/>
          <w:sz w:val="32"/>
          <w:szCs w:val="22"/>
          <w:lang w:val="en-US" w:eastAsia="zh-CN"/>
        </w:rPr>
        <w:t>〕</w:t>
      </w:r>
      <w:r>
        <w:rPr>
          <w:rFonts w:hint="eastAsia" w:ascii="仿宋_GB2312" w:hAnsi="仿宋_GB2312" w:cs="仿宋_GB2312"/>
          <w:sz w:val="32"/>
          <w:szCs w:val="22"/>
          <w:lang w:val="en-US" w:eastAsia="zh-CN"/>
        </w:rPr>
        <w:t>2号</w:t>
      </w:r>
    </w:p>
    <w:p w14:paraId="4F18AB10">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3CA15EF1">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仿宋_GB2312" w:hAnsi="仿宋_GB2312" w:eastAsia="仿宋_GB2312" w:cs="仿宋_GB2312"/>
          <w:sz w:val="32"/>
          <w:szCs w:val="22"/>
          <w:lang w:val="en-US" w:eastAsia="zh-CN"/>
        </w:rPr>
      </w:pPr>
    </w:p>
    <w:p w14:paraId="277DF600">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济南市济阳区人民政府办公室</w:t>
      </w:r>
    </w:p>
    <w:p w14:paraId="453B9173">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关于印发2024年济南市济阳区政务公开</w:t>
      </w:r>
    </w:p>
    <w:p w14:paraId="1D0062E7">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工作要点的通知</w:t>
      </w:r>
    </w:p>
    <w:p w14:paraId="068D45B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22"/>
          <w:lang w:val="en-US" w:eastAsia="zh-CN"/>
        </w:rPr>
      </w:pPr>
    </w:p>
    <w:p w14:paraId="2EB5EBC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cs="仿宋_GB2312"/>
          <w:sz w:val="32"/>
          <w:szCs w:val="22"/>
          <w:lang w:val="en-US" w:eastAsia="zh-CN"/>
        </w:rPr>
      </w:pPr>
      <w:r>
        <w:rPr>
          <w:rFonts w:hint="eastAsia" w:ascii="仿宋_GB2312" w:hAnsi="仿宋_GB2312" w:cs="仿宋_GB2312"/>
          <w:sz w:val="32"/>
          <w:szCs w:val="22"/>
          <w:lang w:val="en-US" w:eastAsia="zh-CN"/>
        </w:rPr>
        <w:t>各镇人民政府，各街道办事处，区政府各部门（单位）：</w:t>
      </w:r>
    </w:p>
    <w:p w14:paraId="43EAF9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22"/>
          <w:lang w:val="en-US" w:eastAsia="zh-CN"/>
        </w:rPr>
      </w:pPr>
      <w:r>
        <w:rPr>
          <w:rFonts w:hint="eastAsia" w:ascii="仿宋_GB2312" w:hAnsi="仿宋_GB2312" w:cs="仿宋_GB2312"/>
          <w:sz w:val="32"/>
          <w:szCs w:val="22"/>
          <w:lang w:val="en-US" w:eastAsia="zh-CN"/>
        </w:rPr>
        <w:t>《2024年济南市济阳区政务公开工作要点》已经区政府同意，现印发给你们，请认真抓好贯彻落实。</w:t>
      </w:r>
    </w:p>
    <w:p w14:paraId="1D2230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sz w:val="32"/>
          <w:szCs w:val="22"/>
          <w:lang w:val="en-US" w:eastAsia="zh-CN"/>
        </w:rPr>
      </w:pPr>
    </w:p>
    <w:p w14:paraId="6AC19786">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cs="仿宋_GB2312"/>
          <w:sz w:val="32"/>
          <w:szCs w:val="22"/>
          <w:lang w:val="en-US" w:eastAsia="zh-CN"/>
        </w:rPr>
      </w:pPr>
      <w:r>
        <w:rPr>
          <w:rFonts w:hint="eastAsia" w:ascii="仿宋_GB2312" w:hAnsi="仿宋_GB2312" w:cs="仿宋_GB2312"/>
          <w:sz w:val="32"/>
          <w:szCs w:val="22"/>
          <w:lang w:val="en-US" w:eastAsia="zh-CN"/>
        </w:rPr>
        <w:t xml:space="preserve">济南市济阳区人民政府办公室   </w:t>
      </w:r>
    </w:p>
    <w:p w14:paraId="4D55094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cs="仿宋_GB2312"/>
          <w:sz w:val="32"/>
          <w:szCs w:val="22"/>
          <w:lang w:val="en-US" w:eastAsia="zh-CN"/>
        </w:rPr>
      </w:pPr>
      <w:r>
        <w:rPr>
          <w:rFonts w:hint="eastAsia" w:ascii="仿宋_GB2312" w:hAnsi="仿宋_GB2312" w:cs="仿宋_GB2312"/>
          <w:sz w:val="32"/>
          <w:szCs w:val="22"/>
          <w:lang w:val="en-US" w:eastAsia="zh-CN"/>
        </w:rPr>
        <w:t xml:space="preserve">2024年6月28日        </w:t>
      </w:r>
    </w:p>
    <w:p w14:paraId="54E984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sz w:val="32"/>
          <w:szCs w:val="22"/>
          <w:lang w:val="en-US" w:eastAsia="zh-CN"/>
        </w:rPr>
      </w:pPr>
      <w:r>
        <w:rPr>
          <w:rFonts w:hint="eastAsia" w:ascii="仿宋_GB2312" w:hAnsi="仿宋_GB2312" w:cs="仿宋_GB2312"/>
          <w:sz w:val="32"/>
          <w:szCs w:val="22"/>
          <w:lang w:val="en-US" w:eastAsia="zh-CN"/>
        </w:rPr>
        <w:t>（此件公开发布）</w:t>
      </w:r>
    </w:p>
    <w:p w14:paraId="2877866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22"/>
          <w:lang w:val="en-US" w:eastAsia="zh-CN"/>
        </w:rPr>
      </w:pPr>
      <w:r>
        <w:rPr>
          <w:rFonts w:hint="eastAsia" w:ascii="仿宋_GB2312" w:hAnsi="仿宋_GB2312" w:eastAsia="仿宋_GB2312" w:cs="仿宋_GB2312"/>
          <w:sz w:val="32"/>
          <w:szCs w:val="22"/>
          <w:lang w:val="en-US" w:eastAsia="zh-CN"/>
        </w:rPr>
        <w:br w:type="page"/>
      </w:r>
    </w:p>
    <w:p w14:paraId="414A3BF4">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hint="eastAsia" w:ascii="方正小标宋简体" w:hAnsi="方正小标宋简体" w:eastAsia="方正小标宋简体" w:cs="方正小标宋简体"/>
          <w:sz w:val="44"/>
          <w:szCs w:val="32"/>
          <w:lang w:val="en-US" w:eastAsia="zh-CN"/>
        </w:rPr>
      </w:pPr>
      <w:r>
        <w:rPr>
          <w:rFonts w:hint="eastAsia" w:ascii="方正小标宋简体" w:hAnsi="方正小标宋简体" w:eastAsia="方正小标宋简体" w:cs="方正小标宋简体"/>
          <w:sz w:val="44"/>
          <w:szCs w:val="32"/>
          <w:lang w:val="en-US" w:eastAsia="zh-CN"/>
        </w:rPr>
        <w:t>济南市济阳区2024年政务公开工作要点</w:t>
      </w:r>
    </w:p>
    <w:p w14:paraId="03947EB1">
      <w:pPr>
        <w:pStyle w:val="4"/>
        <w:rPr>
          <w:rFonts w:hint="eastAsia" w:ascii="仿宋_GB2312" w:hAnsi="仿宋_GB2312" w:eastAsia="仿宋_GB2312" w:cs="仿宋_GB2312"/>
          <w:lang w:val="en-US" w:eastAsia="zh-CN"/>
        </w:rPr>
      </w:pPr>
    </w:p>
    <w:p w14:paraId="76A41235">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w:t>
      </w:r>
      <w:r>
        <w:rPr>
          <w:rFonts w:hint="eastAsia" w:ascii="仿宋_GB2312" w:hAnsi="仿宋_GB2312" w:cs="仿宋_GB2312"/>
          <w:kern w:val="2"/>
          <w:sz w:val="32"/>
          <w:szCs w:val="32"/>
          <w:lang w:val="en-US" w:eastAsia="zh-CN" w:bidi="ar-SA"/>
        </w:rPr>
        <w:t>济南市济阳区政务公开工作的总体要求是：以习近平新时代中国特色社会主义思想为指导，全面贯彻党的二十大精神，深入落实习近平总书记对山东、对济南工作的重要指示要求，准确把握新时代政务公开新形势、新要求，紧紧围绕区委“12345”发展思路，聚焦全区重点工作任务，统筹政务公开与安全保密，不断提升政策服务水平，深化政民互动，以公开促规范、促服务、促落实，助力拉长板、补短板、固底板，奋力谱写高质量北部中心城区建设新篇章。</w:t>
      </w:r>
    </w:p>
    <w:p w14:paraId="606CE40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eastAsia" w:ascii="黑体" w:hAnsi="黑体" w:eastAsia="黑体" w:cs="黑体"/>
          <w:lang w:val="en-US" w:eastAsia="zh-CN"/>
        </w:rPr>
        <w:t>一、推动重点领域信息主动公开</w:t>
      </w:r>
    </w:p>
    <w:p w14:paraId="6B142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做好年度重点工作</w:t>
      </w:r>
      <w:r>
        <w:rPr>
          <w:rFonts w:hint="eastAsia" w:ascii="楷体_GB2312" w:hAnsi="楷体_GB2312" w:eastAsia="楷体_GB2312" w:cs="楷体_GB2312"/>
          <w:sz w:val="32"/>
          <w:szCs w:val="32"/>
        </w:rPr>
        <w:t>信息公开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区政府“攻坚突破年”决策部署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重点做好</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海峡两岸产业合作区</w:t>
      </w:r>
      <w:r>
        <w:rPr>
          <w:rFonts w:hint="eastAsia" w:ascii="仿宋_GB2312" w:hAnsi="仿宋_GB2312" w:eastAsia="仿宋_GB2312" w:cs="仿宋_GB2312"/>
          <w:sz w:val="32"/>
          <w:szCs w:val="32"/>
          <w:lang w:val="en-US" w:eastAsia="zh-CN"/>
        </w:rPr>
        <w:t>建设、推动重点项目建设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促进招商引资</w:t>
      </w:r>
      <w:r>
        <w:rPr>
          <w:rFonts w:hint="eastAsia" w:ascii="仿宋_GB2312" w:hAnsi="仿宋_GB2312" w:eastAsia="仿宋_GB2312" w:cs="仿宋_GB2312"/>
          <w:sz w:val="32"/>
          <w:szCs w:val="32"/>
        </w:rPr>
        <w:t>等方面的政府信息公开工作。加强绿色低碳高质量发展政策发布和宣传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全力做好国家重大战略、基础设施、防灾减灾、产业升级、民生保障等领域重大建设项目批准和实施信息公开工作。针对新能源汽车、住房改善、</w:t>
      </w:r>
      <w:r>
        <w:rPr>
          <w:rFonts w:hint="eastAsia" w:ascii="仿宋_GB2312" w:hAnsi="仿宋_GB2312" w:eastAsia="仿宋_GB2312" w:cs="仿宋_GB2312"/>
          <w:sz w:val="32"/>
          <w:szCs w:val="32"/>
          <w:lang w:val="en-US" w:eastAsia="zh-CN"/>
        </w:rPr>
        <w:t>济阳@黄河</w:t>
      </w:r>
      <w:r>
        <w:rPr>
          <w:rFonts w:hint="eastAsia" w:ascii="仿宋_GB2312" w:hAnsi="仿宋_GB2312" w:eastAsia="仿宋_GB2312" w:cs="仿宋_GB2312"/>
          <w:sz w:val="32"/>
          <w:szCs w:val="32"/>
        </w:rPr>
        <w:t>系列文化活动等领域的消费支持政策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做好信息发布和舆论引导工作。</w:t>
      </w:r>
    </w:p>
    <w:p w14:paraId="1BA74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做好城市管理与治理领域</w:t>
      </w:r>
      <w:r>
        <w:rPr>
          <w:rFonts w:hint="eastAsia" w:ascii="楷体_GB2312" w:hAnsi="楷体_GB2312" w:eastAsia="楷体_GB2312" w:cs="楷体_GB2312"/>
          <w:sz w:val="32"/>
          <w:szCs w:val="32"/>
        </w:rPr>
        <w:t>信息公开。</w:t>
      </w:r>
      <w:r>
        <w:rPr>
          <w:rFonts w:hint="eastAsia" w:ascii="仿宋_GB2312" w:hAnsi="仿宋_GB2312" w:eastAsia="仿宋_GB2312" w:cs="仿宋_GB2312"/>
          <w:sz w:val="32"/>
          <w:szCs w:val="32"/>
        </w:rPr>
        <w:t>围绕乡村振兴齐鲁样板示范区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乡村振兴集中展示区</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做好乡村产业、乡村建设、乡村治理等领域的乡村振兴信息公开。</w:t>
      </w:r>
      <w:r>
        <w:rPr>
          <w:rFonts w:hint="eastAsia" w:ascii="仿宋_GB2312" w:hAnsi="仿宋_GB2312" w:eastAsia="仿宋_GB2312" w:cs="仿宋_GB2312"/>
          <w:sz w:val="32"/>
          <w:szCs w:val="32"/>
          <w:lang w:val="en-US" w:eastAsia="zh-CN"/>
        </w:rPr>
        <w:t>聚焦</w:t>
      </w:r>
      <w:r>
        <w:rPr>
          <w:rFonts w:hint="eastAsia" w:ascii="仿宋_GB2312" w:hAnsi="仿宋_GB2312" w:eastAsia="仿宋_GB2312" w:cs="仿宋_GB2312"/>
          <w:sz w:val="32"/>
          <w:szCs w:val="32"/>
        </w:rPr>
        <w:t>乡村振兴集中展示区</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及时发布加快发展现代农业、提升农村人居环境等方面的重要政策信息。</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城市更新政策宣传</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及时公开城市更新项目相关信息。稳步推进重大项目环评审批信息全过程公开。及时发布建设“无废城市”、打造各领域“无废细胞”相关工作进展情况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加强政策宣传解读和引导。</w:t>
      </w:r>
    </w:p>
    <w:p w14:paraId="683C5A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（三）做好民生服务领域</w:t>
      </w:r>
      <w:r>
        <w:rPr>
          <w:rFonts w:hint="eastAsia" w:ascii="楷体_GB2312" w:hAnsi="楷体_GB2312" w:eastAsia="楷体_GB2312" w:cs="楷体_GB2312"/>
          <w:sz w:val="32"/>
          <w:szCs w:val="32"/>
        </w:rPr>
        <w:t>信息公开。</w:t>
      </w:r>
      <w:r>
        <w:rPr>
          <w:rFonts w:hint="eastAsia" w:ascii="仿宋_GB2312" w:hAnsi="仿宋_GB2312" w:eastAsia="仿宋_GB2312" w:cs="仿宋_GB2312"/>
          <w:sz w:val="32"/>
          <w:szCs w:val="32"/>
        </w:rPr>
        <w:t>落实就业优先政策，切实做好高校毕业生、退役军人、困难人员等群体以及各类经营主体政策清单及服务信息发布工作。加大对健康</w:t>
      </w:r>
      <w:r>
        <w:rPr>
          <w:rFonts w:hint="eastAsia" w:ascii="仿宋_GB2312" w:hAnsi="仿宋_GB2312" w:eastAsia="仿宋_GB2312" w:cs="仿宋_GB2312"/>
          <w:sz w:val="32"/>
          <w:szCs w:val="32"/>
          <w:lang w:val="en-US" w:eastAsia="zh-CN"/>
        </w:rPr>
        <w:t>济阳</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基层医疗卫生服务体系建设等领域的信息公开和政策宣传力度。持续做好学前教育、义务教育、职业教育等方面的信息公开。对“一老一小”服务保障有关政策加大解读和推送力度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重点做好银发经济发展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养老服务机构建设运营、托育服务供给、育儿补贴发放等方面的支持政策措施信息发布。</w:t>
      </w:r>
    </w:p>
    <w:p w14:paraId="5938C1A5">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eastAsia" w:ascii="黑体" w:hAnsi="黑体" w:eastAsia="黑体" w:cs="黑体"/>
          <w:lang w:val="en-US" w:eastAsia="zh-CN"/>
        </w:rPr>
        <w:t>二、持续释放政策利好信号</w:t>
      </w:r>
    </w:p>
    <w:p w14:paraId="25142512">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cs="仿宋_GB2312"/>
          <w:lang w:val="en-US" w:eastAsia="zh-CN"/>
        </w:rPr>
      </w:pPr>
      <w:r>
        <w:rPr>
          <w:rFonts w:hint="eastAsia" w:ascii="楷体_GB2312" w:hAnsi="楷体_GB2312" w:eastAsia="楷体_GB2312" w:cs="楷体_GB2312"/>
          <w:lang w:val="en-US" w:eastAsia="zh-CN"/>
        </w:rPr>
        <w:t>（四）提升政策发布质量。</w:t>
      </w:r>
      <w:r>
        <w:rPr>
          <w:rFonts w:hint="eastAsia" w:ascii="仿宋_GB2312" w:hAnsi="仿宋_GB2312" w:cs="仿宋_GB2312"/>
          <w:lang w:val="en-US" w:eastAsia="zh-CN"/>
        </w:rPr>
        <w:t>继续推进政府文件向全市政府文件库录入，除了以区政府和区政府办公室名义印发的文件之外，以区政府各部门、单位名义印发的文件也要录入，确保文件库收录文件全量覆盖。加强已公开政策的信息管理，根据立改废情况及时更新效力状态等信息，确保公开的准确性。围绕“高效办成一件事”，建设“一件事”专题专栏，选取企业、群众关注度高、办事需求大、政策体量大的领域，对企业、群众高频咨询政策进行“一站式”集成公开。</w:t>
      </w:r>
    </w:p>
    <w:p w14:paraId="51726D60">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（五）深入推进政策解读。</w:t>
      </w:r>
      <w:r>
        <w:rPr>
          <w:rFonts w:hint="eastAsia" w:ascii="仿宋_GB2312" w:hAnsi="仿宋_GB2312" w:cs="仿宋_GB2312"/>
          <w:lang w:val="en-US" w:eastAsia="zh-CN"/>
        </w:rPr>
        <w:t>严格落实政策解读与政策文件同步起草、同步审签、同步公开“三同步”原则，对以区政府及区政府办公室名义印发的政策性文件，牵头起草部门上报代拟稿时应将经本部门主要负责人审定的解读材料一并报送，上报材料不齐全的，区政府办公室按规定予以退文。丰富解读形式，拓宽解读层次，灵活运用图文、图表、短视频、动漫等形式，或“一问一答”、情景短剧等群众喜闻乐见的形式，对政策进行生动形象地展示；充分发挥部门主要负责人、政策参与制定者、熟悉有关业务的专家学者、新闻评论员、媒体记者的作用，提高主要负责人署名解读、专家署名解读、评论文章等多角度解读的比例。强化政策解读与12345热线、政务服务等联动，利用线下政务服务办事窗口、线上政务服务平台、12345热线等渠道充分收集企业、群众需求，针对性开展解读，确保解读有的放矢。</w:t>
      </w:r>
    </w:p>
    <w:p w14:paraId="2C77A7AF">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lang w:val="en-US" w:eastAsia="zh-CN"/>
        </w:rPr>
      </w:pPr>
      <w:r>
        <w:rPr>
          <w:rFonts w:hint="eastAsia" w:ascii="黑体" w:hAnsi="黑体" w:eastAsia="黑体" w:cs="黑体"/>
          <w:lang w:val="en-US" w:eastAsia="zh-CN"/>
        </w:rPr>
        <w:t>三、深入开展政企政民互动</w:t>
      </w:r>
    </w:p>
    <w:p w14:paraId="5E010B04">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（六）推进公众参与决策公开。</w:t>
      </w:r>
      <w:r>
        <w:rPr>
          <w:rFonts w:hint="eastAsia" w:ascii="仿宋_GB2312" w:hAnsi="仿宋_GB2312" w:cs="仿宋_GB2312"/>
          <w:lang w:val="en-US" w:eastAsia="zh-CN"/>
        </w:rPr>
        <w:t>完善重大行政决策事项预公开机制，重大行政决策事项，除依法应当保密的之外，应当及时在政府门户网站进行公众意见征集，并同步发布决策草案、草案解读、专家论证、风险评估等信息，充分征求公众意见建议。继续推进邀请利益相关方、公众代表等列席区政府常务会议工作，及时公开列席代表的意见发表和采纳情况。</w:t>
      </w:r>
    </w:p>
    <w:p w14:paraId="777848BA">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（七）深化政民互动实效。</w:t>
      </w:r>
      <w:r>
        <w:rPr>
          <w:rFonts w:hint="eastAsia" w:ascii="仿宋_GB2312" w:hAnsi="仿宋_GB2312" w:cs="仿宋_GB2312"/>
          <w:lang w:val="en-US" w:eastAsia="zh-CN"/>
        </w:rPr>
        <w:t>围绕企业、群众重点关注事项，继续组织开展“政府开放月”活动，推动政府开放活动常态化。巩固区长信箱、在线访谈、网友留言、意见征集、建言献策等互动渠道建设，提高互动交流实效，并严格按时限要求办理各渠道收集的意见建议，加强对意见建议的分析研究，在做出公开决策时予以考虑。通过互动渠道及时向社会公开年度重点工作任务公开承诺事项，接受社会监督。</w:t>
      </w:r>
    </w:p>
    <w:p w14:paraId="23F02F53">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eastAsia" w:ascii="黑体" w:hAnsi="黑体" w:eastAsia="黑体" w:cs="黑体"/>
          <w:lang w:val="en-US" w:eastAsia="zh-CN"/>
        </w:rPr>
        <w:t>四、持续提升依申请公开工作水平</w:t>
      </w:r>
    </w:p>
    <w:p w14:paraId="46D66C61">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（八）提升依申请公开规范办理水平。</w:t>
      </w:r>
      <w:r>
        <w:rPr>
          <w:rFonts w:hint="eastAsia" w:ascii="仿宋_GB2312" w:hAnsi="仿宋_GB2312" w:cs="仿宋_GB2312"/>
          <w:lang w:val="en-US" w:eastAsia="zh-CN"/>
        </w:rPr>
        <w:t>认真落实省“依申请公开质效提升年”活动要求，全面提升全区依申请公开办理水平。结合全区年度重点工作，对征地拆迁、城市更新等依申请公开易发多发领域，提前做好分析研判，健全完善跨层级、跨部门协调联动工作机制，强化法制审查，统一答复口径，及时向申请人提供权威、准确的解答、指引和服务。</w:t>
      </w:r>
    </w:p>
    <w:p w14:paraId="149893CC">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（九）推进依申请公开数字化管理。</w:t>
      </w:r>
      <w:r>
        <w:rPr>
          <w:rFonts w:hint="eastAsia" w:ascii="仿宋_GB2312" w:hAnsi="仿宋_GB2312" w:cs="仿宋_GB2312"/>
          <w:lang w:val="en-US" w:eastAsia="zh-CN"/>
        </w:rPr>
        <w:t>推动区级办公系统与全市依申请公开数字化管理平台对接，依托数字化管理平台，建立健全政府信息公开申请登记、审核、办理、答复、归档线上机制，实现依申请公开全流程数字化监管，优化办理流程，提升办理效率。综合运用平台的依申请公开案例库功能，强化工作人员对依申请公开典型案例的学习参考，不断提升工作人员办理水平。</w:t>
      </w:r>
    </w:p>
    <w:p w14:paraId="3920CD80">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eastAsia" w:ascii="黑体" w:hAnsi="黑体" w:eastAsia="黑体" w:cs="黑体"/>
          <w:lang w:val="en-US" w:eastAsia="zh-CN"/>
        </w:rPr>
        <w:t>五、推进标准化规范化平台建设</w:t>
      </w:r>
    </w:p>
    <w:p w14:paraId="64A1965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（十）做好政府网站和政务新媒体监管。</w:t>
      </w:r>
      <w:r>
        <w:rPr>
          <w:rFonts w:hint="eastAsia" w:ascii="仿宋_GB2312" w:hAnsi="仿宋_GB2312" w:cs="仿宋_GB2312"/>
          <w:lang w:val="en-US" w:eastAsia="zh-CN"/>
        </w:rPr>
        <w:t>按照国家、省、市有关要求，做好区政府门户网站和政务新媒体监管工作，严格落实备案管理、开设关停、检查通报等各项制度。推进政务新媒体“瘦身提质”行动，筛选关停一批利用率低、实用性差、用户黏性弱的账号，突出做大做强主账号。严格落实信息发布“三审三校”制度，用好用足“三审三校”平台的内容审核功能，精准规避描述不规范、用字用词错误、关键描述不准确等问题，保证信息发布质量。强化政务新媒体矩阵建设，及时、准确、集中转载重要信息。</w:t>
      </w:r>
    </w:p>
    <w:p w14:paraId="5B30B6A9">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（十一）推进政务公开线下专区建设。</w:t>
      </w:r>
      <w:r>
        <w:rPr>
          <w:rFonts w:hint="eastAsia" w:ascii="仿宋_GB2312" w:hAnsi="仿宋_GB2312" w:cs="仿宋_GB2312"/>
          <w:lang w:val="en-US" w:eastAsia="zh-CN"/>
        </w:rPr>
        <w:t>选取区级政务服务大厅、各镇（街道）便民服务中心，部分社区（村）便民服务场所，充分整合现有政务服务与信息公开资源，推进线下政务公开专区建设。紧紧围绕群众、企业需求，同步推进专区和政府网站、政务服务场所信息同源管理，切实解决政府信息公开存在问题，不断提升专区规范化、标准化建设水平。</w:t>
      </w:r>
    </w:p>
    <w:p w14:paraId="61195CE1">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lang w:val="en-US" w:eastAsia="zh-CN"/>
        </w:rPr>
      </w:pPr>
      <w:r>
        <w:rPr>
          <w:rFonts w:hint="eastAsia" w:ascii="黑体" w:hAnsi="黑体" w:eastAsia="黑体" w:cs="黑体"/>
          <w:lang w:val="en-US" w:eastAsia="zh-CN"/>
        </w:rPr>
        <w:t>六、强化政务公开工作基础</w:t>
      </w:r>
    </w:p>
    <w:p w14:paraId="6B264D36">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（十二）加强组织领导。</w:t>
      </w:r>
      <w:r>
        <w:rPr>
          <w:rFonts w:hint="eastAsia" w:ascii="仿宋_GB2312" w:hAnsi="仿宋_GB2312" w:cs="仿宋_GB2312"/>
          <w:lang w:val="en-US" w:eastAsia="zh-CN"/>
        </w:rPr>
        <w:t>各级各部门（单位）要将政务公开纳入重要议事日程，健全政务公开议事协调机制。区政府、区政府各部门（单位）、各镇（街道）每年至少召开1次专题会议听取工作汇报，研究解决重点难点问题。加大培训力度，各级各部门（单位）每年至少组织1次政务公开专题培训，同时将政务公开纳入领导干部和公务员教育培训内容。</w:t>
      </w:r>
    </w:p>
    <w:p w14:paraId="18E183CF">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（十三）强化标准化建设。</w:t>
      </w:r>
      <w:r>
        <w:rPr>
          <w:rFonts w:hint="eastAsia" w:ascii="仿宋_GB2312" w:hAnsi="仿宋_GB2312" w:cs="仿宋_GB2312"/>
          <w:lang w:val="en-US" w:eastAsia="zh-CN"/>
        </w:rPr>
        <w:t>按照国家、省、市有关要求，组织开展《主动公开事项目录》编制工作，分层级分领域梳理确定法定公开事项，调整完善本领域本部门主动公开事项目录，做到法定事项主动公开到位，其他事项审慎主动公开。</w:t>
      </w:r>
    </w:p>
    <w:p w14:paraId="04DAFB6A">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楷体_GB2312" w:hAnsi="楷体_GB2312" w:eastAsia="楷体_GB2312" w:cs="楷体_GB2312"/>
          <w:lang w:val="en-US" w:eastAsia="zh-CN"/>
        </w:rPr>
        <w:t>（十四）强化督导考核。</w:t>
      </w:r>
      <w:r>
        <w:rPr>
          <w:rFonts w:hint="eastAsia" w:ascii="仿宋_GB2312" w:hAnsi="仿宋_GB2312" w:cs="仿宋_GB2312"/>
          <w:lang w:val="en-US" w:eastAsia="zh-CN"/>
        </w:rPr>
        <w:t>区政府办公室要持续加强日常监管，督促各项任务落实，对表现突出的予以表扬，对工作落实不到位、问题较多的及时提醒，综合运用通报、约谈等方式，督促工作落实到位。各级各部门（单位）要坚持问题导向，聚焦问题短板，狠抓工作落实，确保各项目标任务按照国家法律及上级要求按时完成。</w:t>
      </w:r>
    </w:p>
    <w:p w14:paraId="13A56EB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lang w:val="en-US" w:eastAsia="zh-CN"/>
        </w:rPr>
      </w:pPr>
      <w:r>
        <w:rPr>
          <w:rFonts w:hint="eastAsia" w:ascii="仿宋_GB2312" w:hAnsi="仿宋_GB2312" w:cs="仿宋_GB2312"/>
          <w:lang w:val="en-US" w:eastAsia="zh-CN"/>
        </w:rPr>
        <w:t>各级各部门（单位）要按照本工作要点抓好工作落实，落实情况需纳入政府信息公开工作年度报告予以公开，接受社会监督。</w:t>
      </w:r>
    </w:p>
    <w:p w14:paraId="092D7350">
      <w:pPr>
        <w:ind w:left="0" w:leftChars="0" w:firstLine="0" w:firstLineChars="0"/>
        <w:rPr>
          <w:rFonts w:hint="default" w:ascii="仿宋_GB2312" w:hAnsi="仿宋_GB2312" w:cs="仿宋_GB2312"/>
          <w:lang w:val="en-US" w:eastAsia="zh-CN"/>
        </w:rPr>
      </w:pPr>
      <w:bookmarkStart w:id="0" w:name="_GoBack"/>
      <w:bookmarkEnd w:id="0"/>
    </w:p>
    <w:sectPr>
      <w:footerReference r:id="rId5" w:type="default"/>
      <w:pgSz w:w="11906" w:h="16838"/>
      <w:pgMar w:top="2098" w:right="1531" w:bottom="198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8ECB46-9523-4AB9-B606-8C950A4E2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28F7382-D463-4E58-856C-2C14148DA81F}"/>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D6331267-CB83-4F0B-BE7E-7F63177ED74B}"/>
  </w:font>
  <w:font w:name="楷体_GB2312">
    <w:panose1 w:val="02010609030101010101"/>
    <w:charset w:val="86"/>
    <w:family w:val="auto"/>
    <w:pitch w:val="default"/>
    <w:sig w:usb0="00000001" w:usb1="080E0000" w:usb2="00000000" w:usb3="00000000" w:csb0="00040000" w:csb1="00000000"/>
    <w:embedRegular r:id="rId4" w:fontKey="{116FDBB5-D0D2-4C5E-A2AD-C343C6430B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88F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55C84">
                          <w:pPr>
                            <w:pStyle w:val="5"/>
                            <w:wordWrap w:val="0"/>
                            <w:jc w:val="right"/>
                            <w:rPr>
                              <w:rFonts w:hint="default" w:eastAsia="宋体"/>
                              <w:lang w:val="en-US" w:eastAsia="zh-CN"/>
                            </w:rPr>
                          </w:pPr>
                          <w:r>
                            <w:rPr>
                              <w:rFonts w:hint="eastAsia" w:ascii="宋体" w:hAnsi="宋体" w:eastAsia="宋体" w:cs="宋体"/>
                              <w:sz w:val="28"/>
                              <w:szCs w:val="40"/>
                              <w:lang w:val="en-US" w:eastAsia="zh-CN"/>
                            </w:rPr>
                            <w:t xml:space="preserve"> </w:t>
                          </w:r>
                          <w:r>
                            <w:rPr>
                              <w:rFonts w:hint="eastAsia" w:ascii="宋体" w:hAnsi="宋体" w:eastAsia="宋体" w:cs="宋体"/>
                              <w:sz w:val="28"/>
                              <w:szCs w:val="40"/>
                              <w:lang w:eastAsia="zh-CN"/>
                            </w:rPr>
                            <w:t>—</w:t>
                          </w:r>
                          <w:r>
                            <w:rPr>
                              <w:rFonts w:hint="eastAsia" w:ascii="宋体" w:hAnsi="宋体" w:eastAsia="宋体" w:cs="宋体"/>
                              <w:sz w:val="28"/>
                              <w:szCs w:val="40"/>
                              <w:lang w:val="en-US" w:eastAsia="zh-CN"/>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B55C84">
                    <w:pPr>
                      <w:pStyle w:val="5"/>
                      <w:wordWrap w:val="0"/>
                      <w:jc w:val="right"/>
                      <w:rPr>
                        <w:rFonts w:hint="default" w:eastAsia="宋体"/>
                        <w:lang w:val="en-US" w:eastAsia="zh-CN"/>
                      </w:rPr>
                    </w:pPr>
                    <w:r>
                      <w:rPr>
                        <w:rFonts w:hint="eastAsia" w:ascii="宋体" w:hAnsi="宋体" w:eastAsia="宋体" w:cs="宋体"/>
                        <w:sz w:val="28"/>
                        <w:szCs w:val="40"/>
                        <w:lang w:val="en-US" w:eastAsia="zh-CN"/>
                      </w:rPr>
                      <w:t xml:space="preserve"> </w:t>
                    </w:r>
                    <w:r>
                      <w:rPr>
                        <w:rFonts w:hint="eastAsia" w:ascii="宋体" w:hAnsi="宋体" w:eastAsia="宋体" w:cs="宋体"/>
                        <w:sz w:val="28"/>
                        <w:szCs w:val="40"/>
                        <w:lang w:eastAsia="zh-CN"/>
                      </w:rPr>
                      <w:t>—</w:t>
                    </w:r>
                    <w:r>
                      <w:rPr>
                        <w:rFonts w:hint="eastAsia" w:ascii="宋体" w:hAnsi="宋体" w:eastAsia="宋体" w:cs="宋体"/>
                        <w:sz w:val="28"/>
                        <w:szCs w:val="40"/>
                        <w:lang w:val="en-US" w:eastAsia="zh-CN"/>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lang w:val="en-US" w:eastAsia="zh-CN"/>
                      </w:rPr>
                      <w:t xml:space="preserve"> —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TY4N2ZjNGFkMmI5Yjk1MWRkZjJkZGFhMzNhNmEifQ=="/>
  </w:docVars>
  <w:rsids>
    <w:rsidRoot w:val="00000000"/>
    <w:rsid w:val="06413E44"/>
    <w:rsid w:val="09B71227"/>
    <w:rsid w:val="13CA02A2"/>
    <w:rsid w:val="16651F9B"/>
    <w:rsid w:val="1FBB01B2"/>
    <w:rsid w:val="22521DE4"/>
    <w:rsid w:val="27EF2DAE"/>
    <w:rsid w:val="285B109D"/>
    <w:rsid w:val="37E56E86"/>
    <w:rsid w:val="59B800AA"/>
    <w:rsid w:val="5B885BBB"/>
    <w:rsid w:val="5E2A7187"/>
    <w:rsid w:val="64BC51F0"/>
    <w:rsid w:val="663764F6"/>
    <w:rsid w:val="756E770A"/>
    <w:rsid w:val="7F787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1428" w:firstLineChars="200"/>
      <w:jc w:val="both"/>
    </w:pPr>
    <w:rPr>
      <w:rFonts w:eastAsia="仿宋_GB2312" w:asciiTheme="minorAscii" w:hAnsiTheme="minorAscii"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680"/>
    </w:pPr>
    <w:rPr>
      <w:rFonts w:ascii="仿宋_GB2312" w:hAnsi="创艺简标宋" w:cs="仿宋_GB2312"/>
      <w:szCs w:val="32"/>
    </w:rPr>
  </w:style>
  <w:style w:type="paragraph" w:styleId="4">
    <w:name w:val="Body Text"/>
    <w:basedOn w:val="1"/>
    <w:next w:val="1"/>
    <w:qFormat/>
    <w:uiPriority w:val="0"/>
    <w:pPr>
      <w:spacing w:line="600" w:lineRule="exact"/>
      <w:ind w:firstLine="560" w:firstLineChars="200"/>
    </w:pPr>
    <w:rPr>
      <w:rFonts w:ascii="Calibri" w:hAnsi="Calibri" w:eastAsia="仿宋_GB2312" w:cs="宋体"/>
      <w:sz w:val="32"/>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1"/>
    <w:basedOn w:val="1"/>
    <w:qFormat/>
    <w:uiPriority w:val="0"/>
    <w:rPr>
      <w:rFonts w:hint="eastAsia" w:ascii="Calibri" w:hAnsi="Calibri" w:eastAsia="仿宋_GB2312" w:cs="Times New Roman"/>
      <w:sz w:val="32"/>
    </w:rPr>
  </w:style>
  <w:style w:type="paragraph" w:customStyle="1" w:styleId="10">
    <w:name w:val="公文"/>
    <w:basedOn w:val="1"/>
    <w:qFormat/>
    <w:uiPriority w:val="0"/>
    <w:pPr>
      <w:spacing w:line="600" w:lineRule="exact"/>
      <w:ind w:firstLine="640" w:firstLineChars="200"/>
    </w:pPr>
    <w:rPr>
      <w:rFonts w:hint="eastAsia" w:ascii="仿宋_GB2312" w:hAnsi="仿宋_GB2312" w:eastAsia="仿宋_GB2312" w:cs="仿宋_GB2312"/>
      <w:sz w:val="32"/>
      <w:szCs w:val="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3185</Words>
  <Characters>3220</Characters>
  <Lines>0</Lines>
  <Paragraphs>0</Paragraphs>
  <TotalTime>2</TotalTime>
  <ScaleCrop>false</ScaleCrop>
  <LinksUpToDate>false</LinksUpToDate>
  <CharactersWithSpaces>3243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2021-05-14T06:40:00Z</dcterms:created>
  <dc:creator>sksjg</dc:creator>
  <cp:lastModifiedBy>三月初一</cp:lastModifiedBy>
  <dcterms:modified xsi:type="dcterms:W3CDTF">2024-12-06T11:04:51Z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DBB92D84857840F6B12FADF6FB5A108B</vt:lpwstr>
  </property>
</Properties>
</file>