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EAE6E2">
      <w:pPr>
        <w:keepNext w:val="0"/>
        <w:keepLines w:val="0"/>
        <w:pageBreakBefore w:val="0"/>
        <w:widowControl w:val="0"/>
        <w:shd w:val="clear"/>
        <w:kinsoku/>
        <w:wordWrap/>
        <w:overflowPunct w:val="0"/>
        <w:topLinePunct w:val="0"/>
        <w:autoSpaceDE/>
        <w:autoSpaceDN/>
        <w:bidi w:val="0"/>
        <w:adjustRightInd w:val="0"/>
        <w:snapToGrid w:val="0"/>
        <w:spacing w:before="0" w:beforeLines="0" w:after="0" w:afterLines="0" w:afterAutospacing="0" w:line="600" w:lineRule="exact"/>
        <w:ind w:left="0" w:leftChars="0" w:firstLine="0" w:firstLineChars="0"/>
        <w:jc w:val="center"/>
        <w:textAlignment w:val="auto"/>
        <w:outlineLvl w:val="9"/>
        <w:rPr>
          <w:rFonts w:hint="eastAsia" w:ascii="方正小标宋简体" w:hAnsi="方正小标宋简体" w:eastAsia="方正小标宋简体" w:cs="方正小标宋简体"/>
          <w:color w:val="auto"/>
          <w:spacing w:val="0"/>
          <w:sz w:val="44"/>
          <w:szCs w:val="44"/>
          <w:highlight w:val="none"/>
          <w:lang w:val="en-US" w:eastAsia="zh-CN"/>
        </w:rPr>
      </w:pPr>
    </w:p>
    <w:p w14:paraId="54AC42FA">
      <w:pPr>
        <w:keepNext w:val="0"/>
        <w:keepLines w:val="0"/>
        <w:pageBreakBefore w:val="0"/>
        <w:widowControl w:val="0"/>
        <w:shd w:val="clear"/>
        <w:kinsoku/>
        <w:wordWrap/>
        <w:overflowPunct w:val="0"/>
        <w:topLinePunct w:val="0"/>
        <w:autoSpaceDE/>
        <w:autoSpaceDN/>
        <w:bidi w:val="0"/>
        <w:adjustRightInd w:val="0"/>
        <w:snapToGrid w:val="0"/>
        <w:spacing w:before="0" w:beforeLines="0" w:after="0" w:afterLines="0" w:afterAutospacing="0" w:line="600" w:lineRule="exact"/>
        <w:ind w:left="0" w:leftChars="0" w:firstLine="0" w:firstLineChars="0"/>
        <w:jc w:val="center"/>
        <w:textAlignment w:val="auto"/>
        <w:outlineLvl w:val="9"/>
        <w:rPr>
          <w:rFonts w:hint="eastAsia" w:ascii="方正小标宋简体" w:hAnsi="方正小标宋简体" w:eastAsia="方正小标宋简体" w:cs="方正小标宋简体"/>
          <w:color w:val="auto"/>
          <w:spacing w:val="0"/>
          <w:sz w:val="44"/>
          <w:szCs w:val="44"/>
          <w:highlight w:val="none"/>
          <w:lang w:val="en-US" w:eastAsia="zh-CN"/>
        </w:rPr>
      </w:pPr>
    </w:p>
    <w:p w14:paraId="1842063C">
      <w:pPr>
        <w:keepNext w:val="0"/>
        <w:keepLines w:val="0"/>
        <w:pageBreakBefore w:val="0"/>
        <w:widowControl w:val="0"/>
        <w:shd w:val="clear"/>
        <w:kinsoku/>
        <w:wordWrap/>
        <w:overflowPunct w:val="0"/>
        <w:topLinePunct w:val="0"/>
        <w:autoSpaceDE/>
        <w:autoSpaceDN/>
        <w:bidi w:val="0"/>
        <w:adjustRightInd w:val="0"/>
        <w:snapToGrid w:val="0"/>
        <w:spacing w:before="0" w:beforeLines="0" w:after="0" w:afterLines="0" w:afterAutospacing="0" w:line="600" w:lineRule="exact"/>
        <w:ind w:left="0" w:leftChars="0" w:firstLine="0" w:firstLineChars="0"/>
        <w:jc w:val="center"/>
        <w:textAlignment w:val="auto"/>
        <w:outlineLvl w:val="9"/>
        <w:rPr>
          <w:rFonts w:hint="eastAsia" w:ascii="方正小标宋简体" w:hAnsi="方正小标宋简体" w:eastAsia="方正小标宋简体" w:cs="方正小标宋简体"/>
          <w:color w:val="auto"/>
          <w:spacing w:val="0"/>
          <w:sz w:val="44"/>
          <w:szCs w:val="44"/>
          <w:highlight w:val="none"/>
          <w:lang w:val="en-US" w:eastAsia="zh-CN"/>
        </w:rPr>
      </w:pPr>
    </w:p>
    <w:p w14:paraId="2969B86D">
      <w:pPr>
        <w:keepNext w:val="0"/>
        <w:keepLines w:val="0"/>
        <w:pageBreakBefore w:val="0"/>
        <w:widowControl w:val="0"/>
        <w:shd w:val="clear"/>
        <w:kinsoku/>
        <w:wordWrap/>
        <w:overflowPunct w:val="0"/>
        <w:topLinePunct w:val="0"/>
        <w:autoSpaceDE/>
        <w:autoSpaceDN/>
        <w:bidi w:val="0"/>
        <w:adjustRightInd w:val="0"/>
        <w:snapToGrid w:val="0"/>
        <w:spacing w:before="0" w:beforeLines="0" w:after="0" w:afterLines="0" w:afterAutospacing="0" w:line="600" w:lineRule="exact"/>
        <w:ind w:left="0" w:leftChars="0" w:firstLine="0" w:firstLineChars="0"/>
        <w:jc w:val="center"/>
        <w:textAlignment w:val="auto"/>
        <w:outlineLvl w:val="9"/>
        <w:rPr>
          <w:rFonts w:hint="eastAsia" w:ascii="方正小标宋简体" w:hAnsi="方正小标宋简体" w:eastAsia="方正小标宋简体" w:cs="方正小标宋简体"/>
          <w:color w:val="auto"/>
          <w:spacing w:val="0"/>
          <w:sz w:val="44"/>
          <w:szCs w:val="44"/>
          <w:highlight w:val="none"/>
          <w:lang w:val="en-US" w:eastAsia="zh-CN"/>
        </w:rPr>
      </w:pPr>
    </w:p>
    <w:p w14:paraId="1F6A0F08">
      <w:pPr>
        <w:keepNext w:val="0"/>
        <w:keepLines w:val="0"/>
        <w:pageBreakBefore w:val="0"/>
        <w:widowControl w:val="0"/>
        <w:shd w:val="clear"/>
        <w:kinsoku/>
        <w:wordWrap/>
        <w:overflowPunct w:val="0"/>
        <w:topLinePunct w:val="0"/>
        <w:autoSpaceDE/>
        <w:autoSpaceDN/>
        <w:bidi w:val="0"/>
        <w:adjustRightInd w:val="0"/>
        <w:snapToGrid w:val="0"/>
        <w:spacing w:before="0" w:beforeLines="0" w:after="0" w:afterLines="0" w:afterAutospacing="0" w:line="240" w:lineRule="auto"/>
        <w:ind w:left="0" w:leftChars="0" w:firstLine="0" w:firstLineChars="0"/>
        <w:jc w:val="center"/>
        <w:textAlignment w:val="auto"/>
        <w:outlineLvl w:val="9"/>
        <w:rPr>
          <w:rFonts w:hint="eastAsia" w:ascii="方正小标宋简体" w:hAnsi="方正小标宋简体" w:eastAsia="方正小标宋简体" w:cs="方正小标宋简体"/>
          <w:color w:val="auto"/>
          <w:spacing w:val="0"/>
          <w:sz w:val="52"/>
          <w:szCs w:val="52"/>
          <w:highlight w:val="none"/>
        </w:rPr>
      </w:pPr>
      <w:r>
        <w:rPr>
          <w:rFonts w:hint="eastAsia" w:ascii="方正小标宋简体" w:hAnsi="方正小标宋简体" w:eastAsia="方正小标宋简体" w:cs="方正小标宋简体"/>
          <w:color w:val="auto"/>
          <w:spacing w:val="0"/>
          <w:sz w:val="52"/>
          <w:szCs w:val="52"/>
          <w:highlight w:val="none"/>
          <w:lang w:val="en-US" w:eastAsia="zh-CN"/>
        </w:rPr>
        <w:t>济南市济阳区</w:t>
      </w:r>
      <w:r>
        <w:rPr>
          <w:rFonts w:hint="eastAsia" w:ascii="方正小标宋简体" w:hAnsi="方正小标宋简体" w:eastAsia="方正小标宋简体" w:cs="方正小标宋简体"/>
          <w:color w:val="auto"/>
          <w:spacing w:val="0"/>
          <w:sz w:val="52"/>
          <w:szCs w:val="52"/>
          <w:highlight w:val="none"/>
        </w:rPr>
        <w:t>国民经济和社会发展</w:t>
      </w:r>
    </w:p>
    <w:p w14:paraId="5CFF8855">
      <w:pPr>
        <w:keepNext w:val="0"/>
        <w:keepLines w:val="0"/>
        <w:pageBreakBefore w:val="0"/>
        <w:widowControl w:val="0"/>
        <w:shd w:val="clear"/>
        <w:kinsoku/>
        <w:wordWrap/>
        <w:overflowPunct w:val="0"/>
        <w:topLinePunct w:val="0"/>
        <w:autoSpaceDE/>
        <w:autoSpaceDN/>
        <w:bidi w:val="0"/>
        <w:adjustRightInd w:val="0"/>
        <w:snapToGrid w:val="0"/>
        <w:spacing w:before="0" w:beforeLines="0" w:after="0" w:afterLines="0" w:afterAutospacing="0" w:line="240" w:lineRule="auto"/>
        <w:ind w:left="0" w:leftChars="0" w:firstLine="0" w:firstLineChars="0"/>
        <w:jc w:val="center"/>
        <w:textAlignment w:val="auto"/>
        <w:outlineLvl w:val="9"/>
        <w:rPr>
          <w:rFonts w:hint="default" w:ascii="方正小标宋简体" w:hAnsi="方正小标宋简体" w:eastAsia="方正小标宋简体" w:cs="方正小标宋简体"/>
          <w:color w:val="auto"/>
          <w:spacing w:val="0"/>
          <w:sz w:val="52"/>
          <w:szCs w:val="52"/>
          <w:highlight w:val="none"/>
          <w:lang w:val="en-US" w:eastAsia="zh-CN"/>
        </w:rPr>
      </w:pPr>
      <w:r>
        <w:rPr>
          <w:rFonts w:hint="eastAsia" w:ascii="方正小标宋简体" w:hAnsi="方正小标宋简体" w:eastAsia="方正小标宋简体" w:cs="方正小标宋简体"/>
          <w:color w:val="auto"/>
          <w:spacing w:val="0"/>
          <w:sz w:val="52"/>
          <w:szCs w:val="52"/>
          <w:highlight w:val="none"/>
          <w:lang w:val="en-US" w:eastAsia="zh-CN"/>
        </w:rPr>
        <w:t>第十五个五年规划纲要</w:t>
      </w:r>
    </w:p>
    <w:p w14:paraId="4CA5C29C">
      <w:pPr>
        <w:shd w:val="clear"/>
        <w:bidi w:val="0"/>
        <w:outlineLvl w:val="9"/>
        <w:rPr>
          <w:rFonts w:hint="eastAsia" w:ascii="仿宋_GB2312" w:hAnsi="仿宋_GB2312" w:eastAsia="仿宋_GB2312" w:cs="仿宋_GB2312"/>
          <w:color w:val="auto"/>
          <w:sz w:val="32"/>
          <w:szCs w:val="22"/>
          <w:highlight w:val="none"/>
          <w:lang w:val="en-US" w:eastAsia="zh-CN" w:bidi="ar-SA"/>
        </w:rPr>
      </w:pPr>
    </w:p>
    <w:p w14:paraId="1128FA97">
      <w:pPr>
        <w:shd w:val="clear"/>
        <w:bidi w:val="0"/>
        <w:outlineLvl w:val="9"/>
        <w:rPr>
          <w:rFonts w:hint="eastAsia" w:ascii="仿宋_GB2312" w:hAnsi="仿宋_GB2312" w:eastAsia="仿宋_GB2312" w:cs="仿宋_GB2312"/>
          <w:color w:val="auto"/>
          <w:sz w:val="32"/>
          <w:szCs w:val="22"/>
          <w:highlight w:val="none"/>
          <w:lang w:val="en-US" w:eastAsia="zh-CN" w:bidi="ar-SA"/>
        </w:rPr>
      </w:pPr>
    </w:p>
    <w:p w14:paraId="2937BE22">
      <w:pPr>
        <w:shd w:val="clear"/>
        <w:bidi w:val="0"/>
        <w:outlineLvl w:val="9"/>
        <w:rPr>
          <w:rFonts w:hint="eastAsia" w:ascii="仿宋_GB2312" w:hAnsi="仿宋_GB2312" w:eastAsia="仿宋_GB2312" w:cs="仿宋_GB2312"/>
          <w:color w:val="auto"/>
          <w:sz w:val="32"/>
          <w:szCs w:val="22"/>
          <w:highlight w:val="none"/>
          <w:lang w:val="en-US" w:eastAsia="zh-CN" w:bidi="ar-SA"/>
        </w:rPr>
      </w:pPr>
    </w:p>
    <w:p w14:paraId="33088F4E">
      <w:pPr>
        <w:shd w:val="clear"/>
        <w:bidi w:val="0"/>
        <w:outlineLvl w:val="9"/>
        <w:rPr>
          <w:rFonts w:hint="eastAsia"/>
          <w:color w:val="auto"/>
          <w:highlight w:val="none"/>
          <w:lang w:val="en-US" w:eastAsia="zh-CN"/>
        </w:rPr>
      </w:pPr>
    </w:p>
    <w:p w14:paraId="46859C4A">
      <w:pPr>
        <w:shd w:val="clear"/>
        <w:bidi w:val="0"/>
        <w:outlineLvl w:val="9"/>
        <w:rPr>
          <w:rFonts w:hint="eastAsia"/>
          <w:color w:val="auto"/>
          <w:highlight w:val="none"/>
          <w:lang w:val="en-US" w:eastAsia="zh-CN"/>
        </w:rPr>
      </w:pPr>
    </w:p>
    <w:p w14:paraId="5565FD8B">
      <w:pPr>
        <w:shd w:val="clear"/>
        <w:bidi w:val="0"/>
        <w:outlineLvl w:val="9"/>
        <w:rPr>
          <w:rFonts w:hint="eastAsia"/>
          <w:color w:val="auto"/>
          <w:highlight w:val="none"/>
          <w:lang w:val="en-US" w:eastAsia="zh-CN"/>
        </w:rPr>
      </w:pPr>
    </w:p>
    <w:p w14:paraId="13384B6E">
      <w:pPr>
        <w:shd w:val="clear"/>
        <w:bidi w:val="0"/>
        <w:outlineLvl w:val="9"/>
        <w:rPr>
          <w:rFonts w:hint="eastAsia"/>
          <w:color w:val="auto"/>
          <w:highlight w:val="none"/>
          <w:lang w:val="en-US" w:eastAsia="zh-CN"/>
        </w:rPr>
      </w:pPr>
    </w:p>
    <w:p w14:paraId="786FD146">
      <w:pPr>
        <w:shd w:val="clear"/>
        <w:bidi w:val="0"/>
        <w:outlineLvl w:val="9"/>
        <w:rPr>
          <w:rFonts w:hint="eastAsia"/>
          <w:color w:val="auto"/>
          <w:highlight w:val="none"/>
          <w:lang w:val="en-US" w:eastAsia="zh-CN"/>
        </w:rPr>
      </w:pPr>
    </w:p>
    <w:p w14:paraId="0458B2DD">
      <w:pPr>
        <w:shd w:val="clear"/>
        <w:bidi w:val="0"/>
        <w:outlineLvl w:val="9"/>
        <w:rPr>
          <w:rFonts w:hint="eastAsia"/>
          <w:color w:val="auto"/>
          <w:highlight w:val="none"/>
          <w:lang w:val="en-US" w:eastAsia="zh-CN"/>
        </w:rPr>
      </w:pPr>
    </w:p>
    <w:p w14:paraId="3AF89761">
      <w:pPr>
        <w:pStyle w:val="8"/>
        <w:shd w:val="clear"/>
        <w:outlineLvl w:val="9"/>
        <w:rPr>
          <w:rFonts w:hint="eastAsia"/>
          <w:color w:val="auto"/>
          <w:highlight w:val="none"/>
          <w:lang w:val="en-US" w:eastAsia="zh-CN"/>
        </w:rPr>
      </w:pPr>
    </w:p>
    <w:p w14:paraId="54864F38">
      <w:pPr>
        <w:shd w:val="clear"/>
        <w:outlineLvl w:val="9"/>
        <w:rPr>
          <w:rFonts w:hint="eastAsia"/>
          <w:color w:val="auto"/>
          <w:highlight w:val="none"/>
          <w:lang w:val="en-US" w:eastAsia="zh-CN"/>
        </w:rPr>
      </w:pPr>
    </w:p>
    <w:p w14:paraId="37AC8511">
      <w:pPr>
        <w:shd w:val="clear"/>
        <w:bidi w:val="0"/>
        <w:outlineLvl w:val="9"/>
        <w:rPr>
          <w:rFonts w:hint="eastAsia"/>
          <w:color w:val="auto"/>
          <w:highlight w:val="none"/>
          <w:lang w:val="en-US" w:eastAsia="zh-CN"/>
        </w:rPr>
      </w:pPr>
    </w:p>
    <w:p w14:paraId="3EB1683C">
      <w:pPr>
        <w:shd w:val="clear"/>
        <w:tabs>
          <w:tab w:val="left" w:pos="3251"/>
        </w:tabs>
        <w:bidi w:val="0"/>
        <w:ind w:firstLine="0" w:firstLineChars="0"/>
        <w:jc w:val="center"/>
        <w:rPr>
          <w:rFonts w:hint="eastAsia" w:ascii="楷体_GB2312" w:eastAsia="楷体_GB2312" w:cs="楷体_GB2312"/>
          <w:color w:val="auto"/>
          <w:sz w:val="44"/>
          <w:szCs w:val="44"/>
          <w:highlight w:val="none"/>
        </w:rPr>
      </w:pPr>
      <w:r>
        <w:rPr>
          <w:rFonts w:hint="eastAsia" w:ascii="楷体_GB2312" w:eastAsia="楷体_GB2312" w:cs="楷体_GB2312"/>
          <w:color w:val="auto"/>
          <w:sz w:val="44"/>
          <w:szCs w:val="44"/>
          <w:highlight w:val="none"/>
          <w:lang w:val="en-US" w:eastAsia="zh-CN"/>
        </w:rPr>
        <w:t>2026</w:t>
      </w:r>
      <w:r>
        <w:rPr>
          <w:rFonts w:hint="eastAsia" w:ascii="楷体_GB2312" w:eastAsia="楷体_GB2312" w:cs="楷体_GB2312"/>
          <w:color w:val="auto"/>
          <w:sz w:val="44"/>
          <w:szCs w:val="44"/>
          <w:highlight w:val="none"/>
        </w:rPr>
        <w:t>年</w:t>
      </w:r>
      <w:r>
        <w:rPr>
          <w:rFonts w:hint="eastAsia" w:ascii="楷体_GB2312" w:eastAsia="楷体_GB2312" w:cs="楷体_GB2312"/>
          <w:color w:val="auto"/>
          <w:sz w:val="44"/>
          <w:szCs w:val="44"/>
          <w:highlight w:val="none"/>
          <w:lang w:val="en-US" w:eastAsia="zh-CN"/>
        </w:rPr>
        <w:t>5</w:t>
      </w:r>
      <w:r>
        <w:rPr>
          <w:rFonts w:hint="eastAsia" w:ascii="楷体_GB2312" w:eastAsia="楷体_GB2312" w:cs="楷体_GB2312"/>
          <w:color w:val="auto"/>
          <w:sz w:val="44"/>
          <w:szCs w:val="44"/>
          <w:highlight w:val="none"/>
        </w:rPr>
        <w:t>月</w:t>
      </w:r>
    </w:p>
    <w:p w14:paraId="0979547E">
      <w:pPr>
        <w:rPr>
          <w:rFonts w:hint="eastAsia" w:ascii="楷体_GB2312" w:eastAsia="楷体_GB2312" w:cs="楷体_GB2312"/>
          <w:color w:val="auto"/>
          <w:sz w:val="44"/>
          <w:szCs w:val="44"/>
          <w:highlight w:val="none"/>
        </w:rPr>
      </w:pPr>
      <w:r>
        <w:rPr>
          <w:rFonts w:hint="eastAsia" w:ascii="楷体_GB2312" w:eastAsia="楷体_GB2312" w:cs="楷体_GB2312"/>
          <w:color w:val="auto"/>
          <w:sz w:val="44"/>
          <w:szCs w:val="44"/>
          <w:highlight w:val="none"/>
        </w:rPr>
        <w:br w:type="page"/>
      </w:r>
    </w:p>
    <w:p w14:paraId="34726507">
      <w:pPr>
        <w:shd w:val="clear"/>
        <w:tabs>
          <w:tab w:val="left" w:pos="3251"/>
        </w:tabs>
        <w:bidi w:val="0"/>
        <w:ind w:firstLine="0" w:firstLineChars="0"/>
        <w:jc w:val="center"/>
        <w:rPr>
          <w:rFonts w:hint="eastAsia" w:ascii="楷体_GB2312" w:eastAsia="楷体_GB2312" w:cs="楷体_GB2312"/>
          <w:color w:val="auto"/>
          <w:sz w:val="44"/>
          <w:szCs w:val="44"/>
          <w:highlight w:val="none"/>
          <w:lang w:val="en-US" w:eastAsia="zh-CN"/>
        </w:rPr>
        <w:sectPr>
          <w:pgSz w:w="11906" w:h="16838"/>
          <w:pgMar w:top="2098" w:right="1531" w:bottom="1531" w:left="1531"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sdt>
      <w:sdtPr>
        <w:rPr>
          <w:rFonts w:hint="eastAsia" w:ascii="方正小标宋简体" w:hAnsi="方正小标宋简体" w:eastAsia="方正小标宋简体" w:cs="方正小标宋简体"/>
          <w:sz w:val="44"/>
          <w:szCs w:val="44"/>
          <w:lang w:val="en-US" w:eastAsia="zh-CN" w:bidi="ar-SA"/>
        </w:rPr>
        <w:id w:val="147466355"/>
        <w15:color w:val="DBDBDB"/>
        <w:docPartObj>
          <w:docPartGallery w:val="Table of Contents"/>
          <w:docPartUnique/>
        </w:docPartObj>
      </w:sdtPr>
      <w:sdtEndPr>
        <w:rPr>
          <w:rFonts w:hint="eastAsia" w:ascii="方正小标宋简体" w:hAnsi="方正小标宋简体" w:eastAsia="方正小标宋简体" w:cs="方正小标宋简体"/>
          <w:sz w:val="44"/>
          <w:szCs w:val="44"/>
          <w:lang w:val="en-US" w:eastAsia="zh-CN" w:bidi="ar-SA"/>
        </w:rPr>
      </w:sdtEndPr>
      <w:sdtContent>
        <w:p w14:paraId="4A366622">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录</w:t>
          </w:r>
        </w:p>
        <w:p w14:paraId="5C3B4E13">
          <w:pPr>
            <w:pStyle w:val="14"/>
            <w:keepNext w:val="0"/>
            <w:keepLines w:val="0"/>
            <w:pageBreakBefore w:val="0"/>
            <w:widowControl w:val="0"/>
            <w:tabs>
              <w:tab w:val="right" w:leader="dot" w:pos="8844"/>
            </w:tabs>
            <w:kinsoku/>
            <w:wordWrap/>
            <w:overflowPunct w:val="0"/>
            <w:topLinePunct w:val="0"/>
            <w:autoSpaceDE/>
            <w:autoSpaceDN/>
            <w:bidi w:val="0"/>
            <w:adjustRightInd w:val="0"/>
            <w:snapToGrid w:val="0"/>
            <w:spacing w:line="600" w:lineRule="exact"/>
            <w:ind w:left="0" w:leftChars="0" w:firstLine="0" w:firstLineChars="0"/>
            <w:textAlignment w:val="auto"/>
          </w:pPr>
          <w:r>
            <w:fldChar w:fldCharType="begin"/>
          </w:r>
          <w:r>
            <w:instrText xml:space="preserve">TOC \o "1-2" \h \u </w:instrText>
          </w:r>
          <w:r>
            <w:fldChar w:fldCharType="separate"/>
          </w:r>
          <w:r>
            <w:fldChar w:fldCharType="begin"/>
          </w:r>
          <w:r>
            <w:instrText xml:space="preserve"> HYPERLINK \l _Toc26544 </w:instrText>
          </w:r>
          <w:r>
            <w:fldChar w:fldCharType="separate"/>
          </w:r>
          <w:r>
            <w:rPr>
              <w:rFonts w:hint="eastAsia" w:ascii="方正小标宋简体" w:hAnsi="方正小标宋简体" w:eastAsia="方正小标宋简体" w:cs="方正小标宋简体"/>
              <w:bCs w:val="0"/>
              <w:spacing w:val="0"/>
              <w:kern w:val="0"/>
              <w:szCs w:val="32"/>
              <w:highlight w:val="none"/>
              <w:lang w:val="en-US" w:eastAsia="zh-CN" w:bidi="ar"/>
            </w:rPr>
            <w:t xml:space="preserve">第一章  </w:t>
          </w:r>
          <w:r>
            <w:rPr>
              <w:rFonts w:hint="eastAsia" w:ascii="方正小标宋简体" w:hAnsi="方正小标宋简体" w:eastAsia="方正小标宋简体" w:cs="方正小标宋简体"/>
              <w:szCs w:val="32"/>
              <w:highlight w:val="none"/>
              <w:lang w:bidi="ar"/>
            </w:rPr>
            <w:t>开启全面建设</w:t>
          </w:r>
          <w:r>
            <w:rPr>
              <w:rFonts w:hint="eastAsia" w:ascii="方正小标宋简体" w:hAnsi="方正小标宋简体" w:eastAsia="方正小标宋简体" w:cs="方正小标宋简体"/>
              <w:szCs w:val="32"/>
              <w:highlight w:val="none"/>
              <w:lang w:val="en-US" w:eastAsia="zh-CN" w:bidi="ar"/>
            </w:rPr>
            <w:t>社会主义</w:t>
          </w:r>
          <w:r>
            <w:rPr>
              <w:rFonts w:hint="eastAsia" w:ascii="方正小标宋简体" w:hAnsi="方正小标宋简体" w:eastAsia="方正小标宋简体" w:cs="方正小标宋简体"/>
              <w:szCs w:val="32"/>
              <w:highlight w:val="none"/>
              <w:lang w:bidi="ar"/>
            </w:rPr>
            <w:t>现代化新征程，擘画高质量北部中心城区新蓝图</w:t>
          </w:r>
          <w:r>
            <w:tab/>
          </w:r>
          <w:r>
            <w:fldChar w:fldCharType="begin"/>
          </w:r>
          <w:r>
            <w:instrText xml:space="preserve"> PAGEREF _Toc26544 \h </w:instrText>
          </w:r>
          <w:r>
            <w:fldChar w:fldCharType="separate"/>
          </w:r>
          <w:r>
            <w:t>1</w:t>
          </w:r>
          <w:r>
            <w:fldChar w:fldCharType="end"/>
          </w:r>
          <w:r>
            <w:fldChar w:fldCharType="end"/>
          </w:r>
        </w:p>
        <w:p w14:paraId="3F27AF8A">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_Toc6620 </w:instrText>
          </w:r>
          <w:r>
            <w:rPr>
              <w:rFonts w:hint="eastAsia" w:ascii="楷体_GB2312" w:hAnsi="楷体_GB2312" w:eastAsia="楷体_GB2312" w:cs="楷体_GB2312"/>
            </w:rPr>
            <w:fldChar w:fldCharType="separate"/>
          </w:r>
          <w:r>
            <w:rPr>
              <w:rFonts w:hint="eastAsia" w:ascii="楷体_GB2312" w:hAnsi="楷体_GB2312" w:eastAsia="楷体_GB2312" w:cs="楷体_GB2312"/>
              <w:highlight w:val="none"/>
              <w:lang w:val="en-US" w:eastAsia="zh-CN"/>
            </w:rPr>
            <w:t>一、发展基础</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_Toc6620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027AAADA">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_Toc3663 </w:instrText>
          </w:r>
          <w:r>
            <w:rPr>
              <w:rFonts w:hint="eastAsia" w:ascii="楷体_GB2312" w:hAnsi="楷体_GB2312" w:eastAsia="楷体_GB2312" w:cs="楷体_GB2312"/>
            </w:rPr>
            <w:fldChar w:fldCharType="separate"/>
          </w:r>
          <w:r>
            <w:rPr>
              <w:rFonts w:hint="eastAsia" w:ascii="楷体_GB2312" w:hAnsi="楷体_GB2312" w:eastAsia="楷体_GB2312" w:cs="楷体_GB2312"/>
              <w:spacing w:val="0"/>
              <w:highlight w:val="none"/>
              <w:lang w:val="en-US" w:eastAsia="zh-CN"/>
            </w:rPr>
            <w:t>二、形势研判</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_Toc3663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482199F">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_Toc15297 </w:instrText>
          </w:r>
          <w:r>
            <w:rPr>
              <w:rFonts w:hint="eastAsia" w:ascii="楷体_GB2312" w:hAnsi="楷体_GB2312" w:eastAsia="楷体_GB2312" w:cs="楷体_GB2312"/>
            </w:rPr>
            <w:fldChar w:fldCharType="separate"/>
          </w:r>
          <w:r>
            <w:rPr>
              <w:rFonts w:hint="eastAsia" w:ascii="楷体_GB2312" w:hAnsi="楷体_GB2312" w:eastAsia="楷体_GB2312" w:cs="楷体_GB2312"/>
              <w:spacing w:val="0"/>
              <w:highlight w:val="none"/>
              <w:lang w:val="en-US" w:eastAsia="zh-CN"/>
            </w:rPr>
            <w:t>三、指导方针</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_Toc15297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12</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D203BCB">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_Toc20476 </w:instrText>
          </w:r>
          <w:r>
            <w:rPr>
              <w:rFonts w:hint="eastAsia" w:ascii="楷体_GB2312" w:hAnsi="楷体_GB2312" w:eastAsia="楷体_GB2312" w:cs="楷体_GB2312"/>
            </w:rPr>
            <w:fldChar w:fldCharType="separate"/>
          </w:r>
          <w:r>
            <w:rPr>
              <w:rFonts w:hint="eastAsia" w:ascii="楷体_GB2312" w:hAnsi="楷体_GB2312" w:eastAsia="楷体_GB2312" w:cs="楷体_GB2312"/>
              <w:spacing w:val="0"/>
              <w:highlight w:val="none"/>
              <w:lang w:val="en-US" w:eastAsia="zh-CN"/>
            </w:rPr>
            <w:t>四、功能定位</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_Toc20476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14</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DA4AE30">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_Toc18122 </w:instrText>
          </w:r>
          <w:r>
            <w:rPr>
              <w:rFonts w:hint="eastAsia" w:ascii="楷体_GB2312" w:hAnsi="楷体_GB2312" w:eastAsia="楷体_GB2312" w:cs="楷体_GB2312"/>
            </w:rPr>
            <w:fldChar w:fldCharType="separate"/>
          </w:r>
          <w:r>
            <w:rPr>
              <w:rFonts w:hint="eastAsia" w:ascii="楷体_GB2312" w:hAnsi="楷体_GB2312" w:eastAsia="楷体_GB2312" w:cs="楷体_GB2312"/>
              <w:spacing w:val="0"/>
              <w:highlight w:val="none"/>
              <w:lang w:val="en-US" w:eastAsia="zh-CN"/>
            </w:rPr>
            <w:t>五、目标愿景</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_Toc18122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15</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889EA75">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_Toc12423 </w:instrText>
          </w:r>
          <w:r>
            <w:rPr>
              <w:rFonts w:hint="eastAsia" w:ascii="楷体_GB2312" w:hAnsi="楷体_GB2312" w:eastAsia="楷体_GB2312" w:cs="楷体_GB2312"/>
            </w:rPr>
            <w:fldChar w:fldCharType="separate"/>
          </w:r>
          <w:r>
            <w:rPr>
              <w:rFonts w:hint="eastAsia" w:ascii="楷体_GB2312" w:hAnsi="楷体_GB2312" w:eastAsia="楷体_GB2312" w:cs="楷体_GB2312"/>
              <w:spacing w:val="0"/>
              <w:highlight w:val="none"/>
              <w:lang w:val="en-US" w:eastAsia="zh-CN"/>
            </w:rPr>
            <w:t>六、空间布局</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_Toc12423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20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AE7358E">
          <w:pPr>
            <w:pStyle w:val="14"/>
            <w:keepNext w:val="0"/>
            <w:keepLines w:val="0"/>
            <w:pageBreakBefore w:val="0"/>
            <w:widowControl w:val="0"/>
            <w:tabs>
              <w:tab w:val="right" w:leader="dot" w:pos="8844"/>
            </w:tabs>
            <w:kinsoku/>
            <w:wordWrap/>
            <w:overflowPunct w:val="0"/>
            <w:topLinePunct w:val="0"/>
            <w:autoSpaceDE/>
            <w:autoSpaceDN/>
            <w:bidi w:val="0"/>
            <w:adjustRightInd w:val="0"/>
            <w:snapToGrid w:val="0"/>
            <w:spacing w:line="600" w:lineRule="exact"/>
            <w:ind w:left="0" w:leftChars="0" w:firstLine="0" w:firstLineChars="0"/>
            <w:textAlignment w:val="auto"/>
          </w:pPr>
          <w:r>
            <w:fldChar w:fldCharType="begin"/>
          </w:r>
          <w:r>
            <w:instrText xml:space="preserve"> HYPERLINK \l _Toc3435 </w:instrText>
          </w:r>
          <w:r>
            <w:fldChar w:fldCharType="separate"/>
          </w:r>
          <w:r>
            <w:rPr>
              <w:rFonts w:hint="eastAsia" w:ascii="方正小标宋简体" w:hAnsi="方正小标宋简体" w:eastAsia="方正小标宋简体" w:cs="方正小标宋简体"/>
              <w:spacing w:val="0"/>
              <w:kern w:val="0"/>
              <w:szCs w:val="32"/>
              <w:highlight w:val="none"/>
              <w:lang w:val="en-US" w:eastAsia="zh-CN" w:bidi="ar"/>
            </w:rPr>
            <w:t>第二章  加快发展新质生产力，构建以先进制造业为骨干的现代化产业体系</w:t>
          </w:r>
          <w:r>
            <w:tab/>
          </w:r>
          <w:r>
            <w:fldChar w:fldCharType="begin"/>
          </w:r>
          <w:r>
            <w:instrText xml:space="preserve"> PAGEREF _Toc3435 \h </w:instrText>
          </w:r>
          <w:r>
            <w:fldChar w:fldCharType="separate"/>
          </w:r>
          <w:r>
            <w:t>22</w:t>
          </w:r>
          <w:r>
            <w:fldChar w:fldCharType="end"/>
          </w:r>
          <w:r>
            <w:fldChar w:fldCharType="end"/>
          </w:r>
        </w:p>
        <w:p w14:paraId="7CB783A9">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_Toc25210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一、举全区之力建设海峡两岸新旧动能转换产业合作区</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_Toc25210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22</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316636D2">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_Toc10124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二、突出发展先进制造业</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_Toc10124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24</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A8D40E2">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_Toc13641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三、加快发展现代服务业</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_Toc13641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28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6000551">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_Toc14374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四、培育发展新兴产业和未来产业</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_Toc14374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33</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33493BA1">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_Toc8835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五、持续优化产业生态</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_Toc8835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35</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A7A3AAE">
          <w:pPr>
            <w:pStyle w:val="14"/>
            <w:keepNext w:val="0"/>
            <w:keepLines w:val="0"/>
            <w:pageBreakBefore w:val="0"/>
            <w:widowControl w:val="0"/>
            <w:tabs>
              <w:tab w:val="right" w:leader="dot" w:pos="8844"/>
            </w:tabs>
            <w:kinsoku/>
            <w:wordWrap/>
            <w:overflowPunct w:val="0"/>
            <w:topLinePunct w:val="0"/>
            <w:autoSpaceDE/>
            <w:autoSpaceDN/>
            <w:bidi w:val="0"/>
            <w:adjustRightInd w:val="0"/>
            <w:snapToGrid w:val="0"/>
            <w:spacing w:line="600" w:lineRule="exact"/>
            <w:ind w:left="0" w:leftChars="0" w:firstLine="0" w:firstLineChars="0"/>
            <w:textAlignment w:val="auto"/>
          </w:pPr>
          <w:r>
            <w:fldChar w:fldCharType="begin"/>
          </w:r>
          <w:r>
            <w:instrText xml:space="preserve"> HYPERLINK \l _Toc25857 </w:instrText>
          </w:r>
          <w:r>
            <w:fldChar w:fldCharType="separate"/>
          </w:r>
          <w:r>
            <w:rPr>
              <w:rFonts w:hint="eastAsia" w:ascii="方正小标宋简体" w:hAnsi="方正小标宋简体" w:eastAsia="方正小标宋简体" w:cs="方正小标宋简体"/>
              <w:spacing w:val="0"/>
              <w:kern w:val="0"/>
              <w:szCs w:val="32"/>
              <w:highlight w:val="none"/>
              <w:lang w:val="en-US" w:eastAsia="zh-CN" w:bidi="ar"/>
            </w:rPr>
            <w:t>第三章  强化科技创新支撑，建设济南北部科创资源集聚区</w:t>
          </w:r>
          <w:r>
            <w:tab/>
          </w:r>
          <w:r>
            <w:fldChar w:fldCharType="begin"/>
          </w:r>
          <w:r>
            <w:instrText xml:space="preserve"> PAGEREF _Toc25857 \h </w:instrText>
          </w:r>
          <w:r>
            <w:fldChar w:fldCharType="separate"/>
          </w:r>
          <w:r>
            <w:t>38</w:t>
          </w:r>
          <w:r>
            <w:fldChar w:fldCharType="end"/>
          </w:r>
          <w:r>
            <w:fldChar w:fldCharType="end"/>
          </w:r>
        </w:p>
        <w:p w14:paraId="25573673">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_Toc18808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一、强化企业创新主体地位</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_Toc18808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38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7DDD8F3C">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_Toc17963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二、全面促进科技成果转化应用</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_Toc17963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39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057D6393">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_Toc2044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三、激发人才创新创业活力</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_Toc2044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41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0E405D5">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_Toc14397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四、营造一流创新发展生态</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_Toc14397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43</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3891D90C">
          <w:pPr>
            <w:pStyle w:val="14"/>
            <w:keepNext w:val="0"/>
            <w:keepLines w:val="0"/>
            <w:pageBreakBefore w:val="0"/>
            <w:widowControl w:val="0"/>
            <w:tabs>
              <w:tab w:val="right" w:leader="dot" w:pos="8844"/>
            </w:tabs>
            <w:kinsoku/>
            <w:wordWrap/>
            <w:overflowPunct w:val="0"/>
            <w:topLinePunct w:val="0"/>
            <w:autoSpaceDE/>
            <w:autoSpaceDN/>
            <w:bidi w:val="0"/>
            <w:adjustRightInd w:val="0"/>
            <w:snapToGrid w:val="0"/>
            <w:spacing w:line="600" w:lineRule="exact"/>
            <w:ind w:left="0" w:leftChars="0" w:firstLine="0" w:firstLineChars="0"/>
            <w:textAlignment w:val="auto"/>
          </w:pPr>
          <w:r>
            <w:fldChar w:fldCharType="begin"/>
          </w:r>
          <w:r>
            <w:instrText xml:space="preserve"> HYPERLINK \l _Toc11784 </w:instrText>
          </w:r>
          <w:r>
            <w:fldChar w:fldCharType="separate"/>
          </w:r>
          <w:r>
            <w:rPr>
              <w:rFonts w:hint="eastAsia" w:ascii="方正小标宋简体" w:hAnsi="方正小标宋简体" w:eastAsia="方正小标宋简体" w:cs="方正小标宋简体"/>
              <w:spacing w:val="-17"/>
              <w:kern w:val="0"/>
              <w:szCs w:val="32"/>
              <w:highlight w:val="none"/>
              <w:lang w:val="en-US" w:eastAsia="zh-CN" w:bidi="ar"/>
            </w:rPr>
            <w:t>第四章  统筹新型城镇化和乡村振兴，建设城乡融合发展样板区</w:t>
          </w:r>
          <w:r>
            <w:tab/>
          </w:r>
          <w:r>
            <w:fldChar w:fldCharType="begin"/>
          </w:r>
          <w:r>
            <w:instrText xml:space="preserve"> PAGEREF _Toc11784 \h </w:instrText>
          </w:r>
          <w:r>
            <w:fldChar w:fldCharType="separate"/>
          </w:r>
          <w:r>
            <w:t>45</w:t>
          </w:r>
          <w:r>
            <w:fldChar w:fldCharType="end"/>
          </w:r>
          <w:r>
            <w:fldChar w:fldCharType="end"/>
          </w:r>
        </w:p>
        <w:p w14:paraId="5009C605">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_Toc16879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一、提升中心城区功能品质</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_Toc16879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45</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3228C4E0">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_Toc19347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二、大力发展现代高效特色农业</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_Toc19347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48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821A99C">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_Toc12045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三、全面打造宜居宜业和美乡村</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_Toc12045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51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A9B0014">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_Toc21025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四、促进城乡融合发展</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_Toc21025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53</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C41F8B5">
          <w:pPr>
            <w:pStyle w:val="14"/>
            <w:keepNext w:val="0"/>
            <w:keepLines w:val="0"/>
            <w:pageBreakBefore w:val="0"/>
            <w:widowControl w:val="0"/>
            <w:tabs>
              <w:tab w:val="right" w:leader="dot" w:pos="8844"/>
            </w:tabs>
            <w:kinsoku/>
            <w:wordWrap/>
            <w:overflowPunct w:val="0"/>
            <w:topLinePunct w:val="0"/>
            <w:autoSpaceDE/>
            <w:autoSpaceDN/>
            <w:bidi w:val="0"/>
            <w:adjustRightInd w:val="0"/>
            <w:snapToGrid w:val="0"/>
            <w:spacing w:line="600" w:lineRule="exact"/>
            <w:ind w:left="0" w:leftChars="0" w:firstLine="0" w:firstLineChars="0"/>
            <w:textAlignment w:val="auto"/>
          </w:pPr>
          <w:r>
            <w:fldChar w:fldCharType="begin"/>
          </w:r>
          <w:r>
            <w:instrText xml:space="preserve"> HYPERLINK \l _Toc21576 </w:instrText>
          </w:r>
          <w:r>
            <w:fldChar w:fldCharType="separate"/>
          </w:r>
          <w:r>
            <w:rPr>
              <w:rFonts w:hint="eastAsia" w:ascii="方正小标宋简体" w:hAnsi="方正小标宋简体" w:eastAsia="方正小标宋简体" w:cs="方正小标宋简体"/>
              <w:spacing w:val="0"/>
              <w:kern w:val="0"/>
              <w:szCs w:val="32"/>
              <w:highlight w:val="none"/>
              <w:lang w:val="en-US" w:eastAsia="zh-CN" w:bidi="ar"/>
            </w:rPr>
            <w:t>第五章  完善基础设施网络，塑强高品质城市支撑体系</w:t>
          </w:r>
          <w:r>
            <w:tab/>
          </w:r>
          <w:r>
            <w:fldChar w:fldCharType="begin"/>
          </w:r>
          <w:r>
            <w:instrText xml:space="preserve"> PAGEREF _Toc21576 \h </w:instrText>
          </w:r>
          <w:r>
            <w:fldChar w:fldCharType="separate"/>
          </w:r>
          <w:r>
            <w:t>56</w:t>
          </w:r>
          <w:r>
            <w:fldChar w:fldCharType="end"/>
          </w:r>
          <w:r>
            <w:fldChar w:fldCharType="end"/>
          </w:r>
        </w:p>
        <w:p w14:paraId="5F39F821">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_Toc20441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一、优化综合交通体系</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_Toc20441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56</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367AB6E">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_Toc19077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二、增强能源保障能力</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_Toc19077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58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652EDD5">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_Toc30744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三、强化水利安全保障</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_Toc30744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60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AB710E7">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_Toc9611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四、推进新型基础设施建设</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_Toc9611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62</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3A09C5F2">
          <w:pPr>
            <w:pStyle w:val="14"/>
            <w:keepNext w:val="0"/>
            <w:keepLines w:val="0"/>
            <w:pageBreakBefore w:val="0"/>
            <w:widowControl w:val="0"/>
            <w:tabs>
              <w:tab w:val="right" w:leader="dot" w:pos="8844"/>
            </w:tabs>
            <w:kinsoku/>
            <w:wordWrap/>
            <w:overflowPunct w:val="0"/>
            <w:topLinePunct w:val="0"/>
            <w:autoSpaceDE/>
            <w:autoSpaceDN/>
            <w:bidi w:val="0"/>
            <w:adjustRightInd w:val="0"/>
            <w:snapToGrid w:val="0"/>
            <w:spacing w:line="600" w:lineRule="exact"/>
            <w:ind w:left="0" w:leftChars="0" w:firstLine="0" w:firstLineChars="0"/>
            <w:textAlignment w:val="auto"/>
          </w:pPr>
          <w:r>
            <w:fldChar w:fldCharType="begin"/>
          </w:r>
          <w:r>
            <w:instrText xml:space="preserve"> HYPERLINK \l _Toc3552 </w:instrText>
          </w:r>
          <w:r>
            <w:fldChar w:fldCharType="separate"/>
          </w:r>
          <w:r>
            <w:rPr>
              <w:rFonts w:hint="eastAsia" w:ascii="方正小标宋简体" w:hAnsi="方正小标宋简体" w:eastAsia="方正小标宋简体" w:cs="方正小标宋简体"/>
              <w:spacing w:val="0"/>
              <w:kern w:val="0"/>
              <w:szCs w:val="32"/>
              <w:highlight w:val="none"/>
              <w:lang w:val="en-US" w:eastAsia="zh-CN" w:bidi="ar"/>
            </w:rPr>
            <w:t xml:space="preserve">第六章  </w:t>
          </w:r>
          <w:r>
            <w:rPr>
              <w:rFonts w:hint="eastAsia" w:ascii="方正小标宋简体" w:hAnsi="方正小标宋简体" w:eastAsia="方正小标宋简体" w:cs="方正小标宋简体"/>
              <w:spacing w:val="0"/>
              <w:w w:val="95"/>
              <w:kern w:val="0"/>
              <w:sz w:val="32"/>
              <w:szCs w:val="32"/>
              <w:highlight w:val="none"/>
              <w:lang w:val="en-US" w:eastAsia="zh-CN" w:bidi="ar"/>
            </w:rPr>
            <w:t>推进区域协调联动，构建融合高效的区域协同发展格局</w:t>
          </w:r>
          <w:r>
            <w:tab/>
          </w:r>
          <w:r>
            <w:fldChar w:fldCharType="begin"/>
          </w:r>
          <w:r>
            <w:instrText xml:space="preserve"> PAGEREF _Toc3552 \h </w:instrText>
          </w:r>
          <w:r>
            <w:fldChar w:fldCharType="separate"/>
          </w:r>
          <w:r>
            <w:t>65</w:t>
          </w:r>
          <w:r>
            <w:fldChar w:fldCharType="end"/>
          </w:r>
          <w:r>
            <w:fldChar w:fldCharType="end"/>
          </w:r>
        </w:p>
        <w:p w14:paraId="7C970A53">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_Toc2372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一、优化空间保护开发格局和</w:t>
          </w:r>
          <w:r>
            <w:rPr>
              <w:rFonts w:hint="eastAsia" w:ascii="楷体_GB2312" w:hAnsi="楷体_GB2312" w:cs="楷体_GB2312"/>
              <w:lang w:val="en-US" w:eastAsia="zh-CN"/>
            </w:rPr>
            <w:t>街道（镇）</w:t>
          </w:r>
          <w:r>
            <w:rPr>
              <w:rFonts w:hint="eastAsia" w:ascii="楷体_GB2312" w:hAnsi="楷体_GB2312" w:eastAsia="楷体_GB2312" w:cs="楷体_GB2312"/>
              <w:lang w:val="en-US" w:eastAsia="zh-CN"/>
            </w:rPr>
            <w:t>功能布局</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_Toc2372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65</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EB77A74">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_Toc9885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二、全面对接济南新旧动能转换起步区</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_Toc9885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67</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B5C61D2">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_Toc23025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三、</w:t>
          </w:r>
          <w:r>
            <w:rPr>
              <w:rFonts w:hint="eastAsia" w:ascii="楷体_GB2312" w:hAnsi="楷体_GB2312" w:eastAsia="楷体_GB2312" w:cs="楷体_GB2312"/>
            </w:rPr>
            <w:t>构建多层次区域协同发展新格局</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_Toc23025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69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F705AFD">
          <w:pPr>
            <w:pStyle w:val="14"/>
            <w:keepNext w:val="0"/>
            <w:keepLines w:val="0"/>
            <w:pageBreakBefore w:val="0"/>
            <w:widowControl w:val="0"/>
            <w:tabs>
              <w:tab w:val="right" w:leader="dot" w:pos="8844"/>
            </w:tabs>
            <w:kinsoku/>
            <w:wordWrap/>
            <w:overflowPunct w:val="0"/>
            <w:topLinePunct w:val="0"/>
            <w:autoSpaceDE/>
            <w:autoSpaceDN/>
            <w:bidi w:val="0"/>
            <w:adjustRightInd w:val="0"/>
            <w:snapToGrid w:val="0"/>
            <w:spacing w:line="600" w:lineRule="exact"/>
            <w:ind w:left="0" w:leftChars="0" w:firstLine="0" w:firstLineChars="0"/>
            <w:textAlignment w:val="auto"/>
          </w:pPr>
          <w:r>
            <w:fldChar w:fldCharType="begin"/>
          </w:r>
          <w:r>
            <w:instrText xml:space="preserve"> HYPERLINK \l _Toc12296 </w:instrText>
          </w:r>
          <w:r>
            <w:fldChar w:fldCharType="separate"/>
          </w:r>
          <w:r>
            <w:rPr>
              <w:rFonts w:hint="eastAsia" w:ascii="方正小标宋简体" w:hAnsi="方正小标宋简体" w:eastAsia="方正小标宋简体" w:cs="方正小标宋简体"/>
              <w:spacing w:val="0"/>
              <w:kern w:val="0"/>
              <w:szCs w:val="32"/>
              <w:highlight w:val="none"/>
              <w:lang w:val="en-US" w:eastAsia="zh-CN" w:bidi="ar"/>
            </w:rPr>
            <w:t>第七章  深挖激活内需潜能，构筑投资消费双轮驱动格局</w:t>
          </w:r>
          <w:r>
            <w:tab/>
          </w:r>
          <w:r>
            <w:fldChar w:fldCharType="begin"/>
          </w:r>
          <w:r>
            <w:instrText xml:space="preserve"> PAGEREF _Toc12296 \h </w:instrText>
          </w:r>
          <w:r>
            <w:fldChar w:fldCharType="separate"/>
          </w:r>
          <w:r>
            <w:t>71</w:t>
          </w:r>
          <w:r>
            <w:fldChar w:fldCharType="end"/>
          </w:r>
          <w:r>
            <w:fldChar w:fldCharType="end"/>
          </w:r>
        </w:p>
        <w:p w14:paraId="06C66270">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_Toc26362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一、高标准打造济南黄河北区域性消费中心</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_Toc26362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71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3627AFF5">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_Toc14902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二、积极扩大有效益的投资</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_Toc14902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74</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F06BEE7">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_Toc20246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三、构建现代流通体系</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_Toc20246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76</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24D9037">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_Toc29991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四、融入全国统一大市场</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_Toc29991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78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DF4B952">
          <w:pPr>
            <w:pStyle w:val="14"/>
            <w:keepNext w:val="0"/>
            <w:keepLines w:val="0"/>
            <w:pageBreakBefore w:val="0"/>
            <w:widowControl w:val="0"/>
            <w:tabs>
              <w:tab w:val="right" w:leader="dot" w:pos="8844"/>
            </w:tabs>
            <w:kinsoku/>
            <w:wordWrap/>
            <w:overflowPunct w:val="0"/>
            <w:topLinePunct w:val="0"/>
            <w:autoSpaceDE/>
            <w:autoSpaceDN/>
            <w:bidi w:val="0"/>
            <w:adjustRightInd w:val="0"/>
            <w:snapToGrid w:val="0"/>
            <w:spacing w:line="600" w:lineRule="exact"/>
            <w:ind w:left="0" w:leftChars="0" w:firstLine="0" w:firstLineChars="0"/>
            <w:textAlignment w:val="auto"/>
          </w:pPr>
          <w:r>
            <w:fldChar w:fldCharType="begin"/>
          </w:r>
          <w:r>
            <w:instrText xml:space="preserve"> HYPERLINK \l _Toc10988 </w:instrText>
          </w:r>
          <w:r>
            <w:fldChar w:fldCharType="separate"/>
          </w:r>
          <w:r>
            <w:rPr>
              <w:rFonts w:hint="eastAsia" w:ascii="方正小标宋简体" w:hAnsi="方正小标宋简体" w:eastAsia="方正小标宋简体" w:cs="方正小标宋简体"/>
              <w:spacing w:val="0"/>
              <w:kern w:val="0"/>
              <w:szCs w:val="32"/>
              <w:highlight w:val="none"/>
              <w:lang w:val="en-US" w:eastAsia="zh-CN" w:bidi="ar"/>
            </w:rPr>
            <w:t>第八章  深化重点领域改革，</w:t>
          </w:r>
          <w:r>
            <w:rPr>
              <w:rFonts w:hint="eastAsia" w:ascii="方正小标宋简体" w:hAnsi="方正小标宋简体" w:eastAsia="方正小标宋简体" w:cs="方正小标宋简体"/>
              <w:i w:val="0"/>
              <w:iCs w:val="0"/>
              <w:caps w:val="0"/>
              <w:spacing w:val="0"/>
              <w:szCs w:val="32"/>
              <w:highlight w:val="none"/>
              <w:shd w:val="clear" w:fill="auto"/>
              <w:lang w:bidi="ar"/>
            </w:rPr>
            <w:t>扩大高水平</w:t>
          </w:r>
          <w:r>
            <w:rPr>
              <w:rFonts w:hint="eastAsia" w:ascii="方正小标宋简体" w:hAnsi="方正小标宋简体" w:eastAsia="方正小标宋简体" w:cs="方正小标宋简体"/>
              <w:i w:val="0"/>
              <w:iCs w:val="0"/>
              <w:caps w:val="0"/>
              <w:spacing w:val="0"/>
              <w:szCs w:val="32"/>
              <w:highlight w:val="none"/>
              <w:shd w:val="clear" w:fill="FFFFFF"/>
              <w:lang w:bidi="ar"/>
            </w:rPr>
            <w:t>对外</w:t>
          </w:r>
          <w:r>
            <w:rPr>
              <w:rFonts w:hint="eastAsia" w:ascii="方正小标宋简体" w:hAnsi="方正小标宋简体" w:eastAsia="方正小标宋简体" w:cs="方正小标宋简体"/>
              <w:i w:val="0"/>
              <w:iCs w:val="0"/>
              <w:caps w:val="0"/>
              <w:spacing w:val="0"/>
              <w:szCs w:val="32"/>
              <w:highlight w:val="none"/>
              <w:shd w:val="clear" w:fill="auto"/>
              <w:lang w:bidi="ar"/>
            </w:rPr>
            <w:t>开放</w:t>
          </w:r>
          <w:r>
            <w:tab/>
          </w:r>
          <w:r>
            <w:fldChar w:fldCharType="begin"/>
          </w:r>
          <w:r>
            <w:instrText xml:space="preserve"> PAGEREF _Toc10988 \h </w:instrText>
          </w:r>
          <w:r>
            <w:fldChar w:fldCharType="separate"/>
          </w:r>
          <w:r>
            <w:t>79</w:t>
          </w:r>
          <w:r>
            <w:fldChar w:fldCharType="end"/>
          </w:r>
          <w:r>
            <w:fldChar w:fldCharType="end"/>
          </w:r>
        </w:p>
        <w:p w14:paraId="3398D5E7">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_Toc29095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一、激发经营主体活力</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_Toc29095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79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8ADB7CC">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_Toc1414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二、统筹推进财税金融改革</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_Toc1414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81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E8DB2A1">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_Toc28965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三、营造一流营商环境</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_Toc28965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82</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7601755B">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_Toc23107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四、提高对外开放质效</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_Toc23107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84</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CD71824">
          <w:pPr>
            <w:pStyle w:val="14"/>
            <w:keepNext w:val="0"/>
            <w:keepLines w:val="0"/>
            <w:pageBreakBefore w:val="0"/>
            <w:widowControl w:val="0"/>
            <w:tabs>
              <w:tab w:val="right" w:leader="dot" w:pos="8844"/>
            </w:tabs>
            <w:kinsoku/>
            <w:wordWrap/>
            <w:overflowPunct w:val="0"/>
            <w:topLinePunct w:val="0"/>
            <w:autoSpaceDE/>
            <w:autoSpaceDN/>
            <w:bidi w:val="0"/>
            <w:adjustRightInd w:val="0"/>
            <w:snapToGrid w:val="0"/>
            <w:spacing w:line="600" w:lineRule="exact"/>
            <w:ind w:left="0" w:leftChars="0" w:firstLine="0" w:firstLineChars="0"/>
            <w:textAlignment w:val="auto"/>
          </w:pPr>
          <w:r>
            <w:fldChar w:fldCharType="begin"/>
          </w:r>
          <w:r>
            <w:instrText xml:space="preserve"> HYPERLINK \l _Toc30185 </w:instrText>
          </w:r>
          <w:r>
            <w:fldChar w:fldCharType="separate"/>
          </w:r>
          <w:r>
            <w:rPr>
              <w:rFonts w:hint="eastAsia" w:ascii="方正小标宋简体" w:hAnsi="方正小标宋简体" w:eastAsia="方正小标宋简体" w:cs="方正小标宋简体"/>
              <w:spacing w:val="0"/>
              <w:kern w:val="0"/>
              <w:szCs w:val="32"/>
              <w:highlight w:val="none"/>
              <w:lang w:val="en-US" w:eastAsia="zh-CN" w:bidi="ar"/>
            </w:rPr>
            <w:t>第九章  筑牢生态安全屏障，构建人与自然和谐共生新城区</w:t>
          </w:r>
          <w:r>
            <w:tab/>
          </w:r>
          <w:r>
            <w:fldChar w:fldCharType="begin"/>
          </w:r>
          <w:r>
            <w:instrText xml:space="preserve"> PAGEREF _Toc30185 \h </w:instrText>
          </w:r>
          <w:r>
            <w:fldChar w:fldCharType="separate"/>
          </w:r>
          <w:r>
            <w:t>86</w:t>
          </w:r>
          <w:r>
            <w:fldChar w:fldCharType="end"/>
          </w:r>
          <w:r>
            <w:fldChar w:fldCharType="end"/>
          </w:r>
        </w:p>
        <w:p w14:paraId="3604BFE9">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_Toc19747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一、积极稳妥推进碳达峰</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_Toc19747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86</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01AD85D3">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_Toc31592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二、提升生态系统质量和稳定性</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_Toc31592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88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803B231">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_Toc32112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三、全面改善环境质量</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_Toc32112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89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53C5F50">
          <w:pPr>
            <w:pStyle w:val="14"/>
            <w:keepNext w:val="0"/>
            <w:keepLines w:val="0"/>
            <w:pageBreakBefore w:val="0"/>
            <w:widowControl w:val="0"/>
            <w:tabs>
              <w:tab w:val="right" w:leader="dot" w:pos="8844"/>
            </w:tabs>
            <w:kinsoku/>
            <w:wordWrap/>
            <w:overflowPunct w:val="0"/>
            <w:topLinePunct w:val="0"/>
            <w:autoSpaceDE/>
            <w:autoSpaceDN/>
            <w:bidi w:val="0"/>
            <w:adjustRightInd w:val="0"/>
            <w:snapToGrid w:val="0"/>
            <w:spacing w:line="600" w:lineRule="exact"/>
            <w:ind w:left="0" w:leftChars="0" w:firstLine="0" w:firstLineChars="0"/>
            <w:textAlignment w:val="auto"/>
          </w:pPr>
          <w:r>
            <w:fldChar w:fldCharType="begin"/>
          </w:r>
          <w:r>
            <w:instrText xml:space="preserve"> HYPERLINK \l _Toc5822 </w:instrText>
          </w:r>
          <w:r>
            <w:fldChar w:fldCharType="separate"/>
          </w:r>
          <w:r>
            <w:rPr>
              <w:rFonts w:hint="eastAsia" w:ascii="方正小标宋简体" w:hAnsi="方正小标宋简体" w:eastAsia="方正小标宋简体" w:cs="方正小标宋简体"/>
              <w:kern w:val="2"/>
              <w:szCs w:val="24"/>
              <w:highlight w:val="none"/>
              <w:lang w:val="en-US" w:eastAsia="zh-CN"/>
            </w:rPr>
            <w:t>第十章  推动文化繁荣兴盛，打造黄河流域区域文化展示区</w:t>
          </w:r>
          <w:r>
            <w:tab/>
          </w:r>
          <w:r>
            <w:fldChar w:fldCharType="begin"/>
          </w:r>
          <w:r>
            <w:instrText xml:space="preserve"> PAGEREF _Toc5822 \h </w:instrText>
          </w:r>
          <w:r>
            <w:fldChar w:fldCharType="separate"/>
          </w:r>
          <w:r>
            <w:t>93</w:t>
          </w:r>
          <w:r>
            <w:fldChar w:fldCharType="end"/>
          </w:r>
          <w:r>
            <w:fldChar w:fldCharType="end"/>
          </w:r>
        </w:p>
        <w:p w14:paraId="20988C5A">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_Toc23252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一、强化社会主义先进文化引领</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_Toc23252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93</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01B5B443">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_Toc21509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二、加强公共文化产品和服务供给</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_Toc21509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94</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6AB6516">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_Toc30663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三、传承弘扬济阳文化</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_Toc30663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95</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3B7593A0">
          <w:pPr>
            <w:pStyle w:val="14"/>
            <w:keepNext w:val="0"/>
            <w:keepLines w:val="0"/>
            <w:pageBreakBefore w:val="0"/>
            <w:widowControl w:val="0"/>
            <w:tabs>
              <w:tab w:val="right" w:leader="dot" w:pos="8844"/>
            </w:tabs>
            <w:kinsoku/>
            <w:wordWrap/>
            <w:overflowPunct w:val="0"/>
            <w:topLinePunct w:val="0"/>
            <w:autoSpaceDE/>
            <w:autoSpaceDN/>
            <w:bidi w:val="0"/>
            <w:adjustRightInd w:val="0"/>
            <w:snapToGrid w:val="0"/>
            <w:spacing w:line="600" w:lineRule="exact"/>
            <w:ind w:left="0" w:leftChars="0" w:firstLine="0" w:firstLineChars="0"/>
            <w:textAlignment w:val="auto"/>
          </w:pPr>
          <w:r>
            <w:fldChar w:fldCharType="begin"/>
          </w:r>
          <w:r>
            <w:instrText xml:space="preserve"> HYPERLINK \l _Toc32630 </w:instrText>
          </w:r>
          <w:r>
            <w:fldChar w:fldCharType="separate"/>
          </w:r>
          <w:r>
            <w:rPr>
              <w:rFonts w:hint="eastAsia" w:ascii="方正小标宋简体" w:hAnsi="方正小标宋简体" w:eastAsia="方正小标宋简体" w:cs="方正小标宋简体"/>
              <w:kern w:val="2"/>
              <w:szCs w:val="24"/>
              <w:highlight w:val="none"/>
              <w:lang w:val="en-US" w:eastAsia="zh-CN"/>
            </w:rPr>
            <w:t>第十一章  提升民生福祉水平，建设共享和谐宜居区</w:t>
          </w:r>
          <w:r>
            <w:tab/>
          </w:r>
          <w:r>
            <w:fldChar w:fldCharType="begin"/>
          </w:r>
          <w:r>
            <w:instrText xml:space="preserve"> PAGEREF _Toc32630 \h </w:instrText>
          </w:r>
          <w:r>
            <w:fldChar w:fldCharType="separate"/>
          </w:r>
          <w:r>
            <w:t>99</w:t>
          </w:r>
          <w:r>
            <w:fldChar w:fldCharType="end"/>
          </w:r>
          <w:r>
            <w:fldChar w:fldCharType="end"/>
          </w:r>
        </w:p>
        <w:p w14:paraId="4063AF53">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_Toc27833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一、促进高质量充分就业</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_Toc27833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99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C7AD089">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_Toc16497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二、办好人民满意的教育</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_Toc16497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101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A69F9C4">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_Toc14707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三、加快健康济阳建设</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_Toc14707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102</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01362C8">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_Toc24031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四、构建多层次社会保障体系</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_Toc24031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104</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2000753">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_Toc15990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五、推进全龄友好城区发展</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_Toc15990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107</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D518141">
          <w:pPr>
            <w:pStyle w:val="14"/>
            <w:keepNext w:val="0"/>
            <w:keepLines w:val="0"/>
            <w:pageBreakBefore w:val="0"/>
            <w:widowControl w:val="0"/>
            <w:tabs>
              <w:tab w:val="right" w:leader="dot" w:pos="8844"/>
            </w:tabs>
            <w:kinsoku/>
            <w:wordWrap/>
            <w:overflowPunct w:val="0"/>
            <w:topLinePunct w:val="0"/>
            <w:autoSpaceDE/>
            <w:autoSpaceDN/>
            <w:bidi w:val="0"/>
            <w:adjustRightInd w:val="0"/>
            <w:snapToGrid w:val="0"/>
            <w:spacing w:line="600" w:lineRule="exact"/>
            <w:ind w:left="0" w:leftChars="0" w:firstLine="0" w:firstLineChars="0"/>
            <w:textAlignment w:val="auto"/>
          </w:pPr>
          <w:r>
            <w:fldChar w:fldCharType="begin"/>
          </w:r>
          <w:r>
            <w:instrText xml:space="preserve"> HYPERLINK \l _Toc32395 </w:instrText>
          </w:r>
          <w:r>
            <w:fldChar w:fldCharType="separate"/>
          </w:r>
          <w:r>
            <w:rPr>
              <w:rFonts w:hint="eastAsia" w:ascii="方正小标宋简体" w:hAnsi="方正小标宋简体" w:eastAsia="方正小标宋简体" w:cs="方正小标宋简体"/>
              <w:kern w:val="2"/>
              <w:szCs w:val="24"/>
              <w:highlight w:val="none"/>
              <w:lang w:val="en-US" w:eastAsia="zh-CN"/>
            </w:rPr>
            <w:t>第十二章  统筹发展和安全，提升智慧高效社会治理水平</w:t>
          </w:r>
          <w:r>
            <w:tab/>
          </w:r>
          <w:r>
            <w:fldChar w:fldCharType="begin"/>
          </w:r>
          <w:r>
            <w:instrText xml:space="preserve"> PAGEREF _Toc32395 \h </w:instrText>
          </w:r>
          <w:r>
            <w:fldChar w:fldCharType="separate"/>
          </w:r>
          <w:r>
            <w:t>110</w:t>
          </w:r>
          <w:r>
            <w:fldChar w:fldCharType="end"/>
          </w:r>
          <w:r>
            <w:fldChar w:fldCharType="end"/>
          </w:r>
        </w:p>
        <w:p w14:paraId="3CC16885">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_Toc30313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一、全面提高依法治区水平</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_Toc30313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110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743646E2">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_Toc3433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二、优化提升社会治理方式</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_Toc3433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111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35AB78F3">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_Toc6095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三、维护社会安定和谐</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_Toc6095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113</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FA2F709">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_Toc26845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四、保障人民生命健康安全</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_Toc26845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115</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467B7F2">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_Toc18847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五、筑牢经济安全屏障</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_Toc18847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117</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1917944">
          <w:pPr>
            <w:pStyle w:val="14"/>
            <w:keepNext w:val="0"/>
            <w:keepLines w:val="0"/>
            <w:pageBreakBefore w:val="0"/>
            <w:widowControl w:val="0"/>
            <w:tabs>
              <w:tab w:val="right" w:leader="dot" w:pos="8844"/>
            </w:tabs>
            <w:kinsoku/>
            <w:wordWrap/>
            <w:overflowPunct w:val="0"/>
            <w:topLinePunct w:val="0"/>
            <w:autoSpaceDE/>
            <w:autoSpaceDN/>
            <w:bidi w:val="0"/>
            <w:adjustRightInd w:val="0"/>
            <w:snapToGrid w:val="0"/>
            <w:spacing w:line="600" w:lineRule="exact"/>
            <w:ind w:left="0" w:leftChars="0" w:firstLine="0" w:firstLineChars="0"/>
            <w:textAlignment w:val="auto"/>
          </w:pPr>
          <w:r>
            <w:fldChar w:fldCharType="begin"/>
          </w:r>
          <w:r>
            <w:instrText xml:space="preserve"> HYPERLINK \l _Toc32136 </w:instrText>
          </w:r>
          <w:r>
            <w:fldChar w:fldCharType="separate"/>
          </w:r>
          <w:r>
            <w:rPr>
              <w:rFonts w:hint="eastAsia" w:ascii="方正小标宋简体" w:hAnsi="方正小标宋简体" w:eastAsia="方正小标宋简体" w:cs="方正小标宋简体"/>
              <w:kern w:val="2"/>
              <w:szCs w:val="24"/>
              <w:highlight w:val="none"/>
              <w:lang w:val="en-US" w:eastAsia="zh-CN"/>
            </w:rPr>
            <w:t>第十三章  加强党的全面领导，团结全区人民为实现“十五五”规划共同奋斗</w:t>
          </w:r>
          <w:r>
            <w:tab/>
          </w:r>
          <w:r>
            <w:fldChar w:fldCharType="begin"/>
          </w:r>
          <w:r>
            <w:instrText xml:space="preserve"> PAGEREF _Toc32136 \h </w:instrText>
          </w:r>
          <w:r>
            <w:fldChar w:fldCharType="separate"/>
          </w:r>
          <w:r>
            <w:t>119</w:t>
          </w:r>
          <w:r>
            <w:fldChar w:fldCharType="end"/>
          </w:r>
          <w:r>
            <w:fldChar w:fldCharType="end"/>
          </w:r>
        </w:p>
        <w:p w14:paraId="2A29986B">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_Toc10614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一、加强党的全面领导</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_Toc10614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119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B90B9C2">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_Toc12319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二、健全规划实施机制</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_Toc12319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119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880F83C">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_Toc6264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三、强化项目要素支撑</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_Toc6264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120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ADD3E3A">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rPr>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_Toc22362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四、做好规划体检评估</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_Toc22362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120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4A0907B">
          <w:pPr>
            <w:pStyle w:val="15"/>
            <w:keepNext w:val="0"/>
            <w:keepLines w:val="0"/>
            <w:pageBreakBefore w:val="0"/>
            <w:widowControl w:val="0"/>
            <w:tabs>
              <w:tab w:val="right" w:leader="dot" w:pos="8844"/>
              <w:tab w:val="clear" w:pos="8777"/>
            </w:tabs>
            <w:kinsoku/>
            <w:wordWrap/>
            <w:overflowPunct w:val="0"/>
            <w:topLinePunct w:val="0"/>
            <w:autoSpaceDE/>
            <w:autoSpaceDN/>
            <w:bidi w:val="0"/>
            <w:adjustRightInd w:val="0"/>
            <w:snapToGrid w:val="0"/>
            <w:spacing w:line="600" w:lineRule="exact"/>
            <w:textAlignment w:val="auto"/>
          </w:pP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HYPERLINK \l _Toc11296 </w:instrText>
          </w:r>
          <w:r>
            <w:rPr>
              <w:rFonts w:hint="eastAsia" w:ascii="楷体_GB2312" w:hAnsi="楷体_GB2312" w:eastAsia="楷体_GB2312" w:cs="楷体_GB2312"/>
            </w:rPr>
            <w:fldChar w:fldCharType="separate"/>
          </w:r>
          <w:r>
            <w:rPr>
              <w:rFonts w:hint="eastAsia" w:ascii="楷体_GB2312" w:hAnsi="楷体_GB2312" w:eastAsia="楷体_GB2312" w:cs="楷体_GB2312"/>
              <w:lang w:val="en-US" w:eastAsia="zh-CN"/>
            </w:rPr>
            <w:t>五、动员人民广泛参与</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_Toc11296 \h </w:instrText>
          </w:r>
          <w:r>
            <w:rPr>
              <w:rFonts w:hint="eastAsia" w:ascii="楷体_GB2312" w:hAnsi="楷体_GB2312" w:eastAsia="楷体_GB2312" w:cs="楷体_GB2312"/>
            </w:rPr>
            <w:fldChar w:fldCharType="separate"/>
          </w:r>
          <w:r>
            <w:rPr>
              <w:rFonts w:hint="eastAsia" w:ascii="楷体_GB2312" w:hAnsi="楷体_GB2312" w:eastAsia="楷体_GB2312" w:cs="楷体_GB2312"/>
            </w:rPr>
            <w:t>121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383E1CDC">
          <w:pPr>
            <w:keepNext w:val="0"/>
            <w:keepLines w:val="0"/>
            <w:pageBreakBefore w:val="0"/>
            <w:widowControl w:val="0"/>
            <w:kinsoku/>
            <w:wordWrap/>
            <w:overflowPunct w:val="0"/>
            <w:topLinePunct w:val="0"/>
            <w:autoSpaceDE/>
            <w:autoSpaceDN/>
            <w:bidi w:val="0"/>
            <w:adjustRightInd w:val="0"/>
            <w:snapToGrid w:val="0"/>
            <w:spacing w:line="600" w:lineRule="exact"/>
            <w:textAlignment w:val="auto"/>
          </w:pPr>
          <w:r>
            <w:fldChar w:fldCharType="end"/>
          </w:r>
        </w:p>
      </w:sdtContent>
    </w:sdt>
    <w:p w14:paraId="243BA7AA">
      <w:pPr>
        <w:keepNext w:val="0"/>
        <w:keepLines w:val="0"/>
        <w:pageBreakBefore w:val="0"/>
        <w:widowControl w:val="0"/>
        <w:kinsoku/>
        <w:wordWrap/>
        <w:overflowPunct w:val="0"/>
        <w:topLinePunct w:val="0"/>
        <w:autoSpaceDE/>
        <w:autoSpaceDN/>
        <w:bidi w:val="0"/>
        <w:adjustRightInd w:val="0"/>
        <w:snapToGrid w:val="0"/>
        <w:spacing w:line="600" w:lineRule="exact"/>
        <w:textAlignment w:val="auto"/>
      </w:pPr>
    </w:p>
    <w:p w14:paraId="5AF3BE76">
      <w:pPr>
        <w:keepNext w:val="0"/>
        <w:keepLines w:val="0"/>
        <w:pageBreakBefore w:val="0"/>
        <w:widowControl w:val="0"/>
        <w:shd w:val="clear"/>
        <w:kinsoku/>
        <w:wordWrap/>
        <w:overflowPunct w:val="0"/>
        <w:topLinePunct w:val="0"/>
        <w:autoSpaceDE/>
        <w:autoSpaceDN/>
        <w:bidi w:val="0"/>
        <w:adjustRightInd w:val="0"/>
        <w:snapToGrid w:val="0"/>
        <w:spacing w:line="600" w:lineRule="exact"/>
        <w:textAlignment w:val="auto"/>
        <w:rPr>
          <w:color w:val="auto"/>
          <w:highlight w:val="none"/>
        </w:rPr>
      </w:pPr>
    </w:p>
    <w:p w14:paraId="2B9D429A">
      <w:pPr>
        <w:keepNext w:val="0"/>
        <w:keepLines w:val="0"/>
        <w:pageBreakBefore w:val="0"/>
        <w:widowControl w:val="0"/>
        <w:suppressLineNumbers w:val="0"/>
        <w:shd w:val="clear"/>
        <w:kinsoku/>
        <w:wordWrap/>
        <w:overflowPunct w:val="0"/>
        <w:topLinePunct w:val="0"/>
        <w:autoSpaceDE/>
        <w:autoSpaceDN/>
        <w:bidi w:val="0"/>
        <w:adjustRightInd w:val="0"/>
        <w:snapToGrid w:val="0"/>
        <w:spacing w:afterAutospacing="0" w:line="600" w:lineRule="exact"/>
        <w:jc w:val="center"/>
        <w:textAlignment w:val="auto"/>
        <w:outlineLvl w:val="9"/>
        <w:rPr>
          <w:rFonts w:hint="eastAsia" w:ascii="方正小标宋简体" w:hAnsi="方正小标宋简体" w:eastAsia="方正小标宋简体" w:cs="方正小标宋简体"/>
          <w:b w:val="0"/>
          <w:bCs w:val="0"/>
          <w:color w:val="auto"/>
          <w:spacing w:val="-20"/>
          <w:kern w:val="0"/>
          <w:sz w:val="32"/>
          <w:szCs w:val="32"/>
          <w:highlight w:val="none"/>
          <w:lang w:val="en-US" w:eastAsia="zh-CN" w:bidi="ar"/>
        </w:rPr>
        <w:sectPr>
          <w:footerReference r:id="rId5" w:type="default"/>
          <w:pgSz w:w="11906" w:h="16838"/>
          <w:pgMar w:top="2098" w:right="1531" w:bottom="1531" w:left="1531"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0" w:name="_Toc8533"/>
      <w:bookmarkStart w:id="1" w:name="_Toc22253"/>
      <w:bookmarkStart w:id="2" w:name="_Toc8029"/>
      <w:bookmarkStart w:id="3" w:name="_Toc6315"/>
      <w:bookmarkStart w:id="4" w:name="_Toc4032"/>
      <w:bookmarkStart w:id="5" w:name="_Toc22875"/>
      <w:bookmarkStart w:id="6" w:name="_Toc1078"/>
      <w:bookmarkStart w:id="7" w:name="_Toc6318"/>
    </w:p>
    <w:sdt>
      <w:sdtPr>
        <w:rPr>
          <w:rFonts w:ascii="宋体" w:hAnsi="宋体" w:eastAsia="宋体" w:cs="仿宋_GB2312"/>
          <w:sz w:val="21"/>
          <w:szCs w:val="22"/>
          <w:highlight w:val="none"/>
          <w:lang w:val="en-US" w:eastAsia="zh-CN" w:bidi="ar-SA"/>
        </w:rPr>
        <w:id w:val="147462738"/>
        <w15:color w:val="DBDBDB"/>
        <w:docPartObj>
          <w:docPartGallery w:val="Table of Contents"/>
          <w:docPartUnique/>
        </w:docPartObj>
      </w:sdtPr>
      <w:sdtEndPr>
        <w:rPr>
          <w:rFonts w:ascii="宋体" w:hAnsi="宋体" w:eastAsia="宋体" w:cs="仿宋_GB2312"/>
          <w:sz w:val="21"/>
          <w:szCs w:val="22"/>
          <w:highlight w:val="none"/>
          <w:lang w:val="en-US" w:eastAsia="zh-CN" w:bidi="ar-SA"/>
        </w:rPr>
      </w:sdtEndPr>
      <w:sdtContent>
        <w:p w14:paraId="4ACA7C31">
          <w:pPr>
            <w:spacing w:before="0" w:beforeLines="0" w:after="0" w:afterLines="0" w:line="240" w:lineRule="auto"/>
            <w:ind w:left="0" w:leftChars="0" w:right="0" w:rightChars="0" w:firstLine="0" w:firstLineChars="0"/>
            <w:jc w:val="center"/>
            <w:rPr>
              <w:rFonts w:hint="eastAsia" w:ascii="黑体" w:hAnsi="黑体" w:eastAsia="黑体" w:cs="黑体"/>
              <w:sz w:val="36"/>
              <w:szCs w:val="36"/>
              <w:highlight w:val="none"/>
              <w:lang w:val="en-US" w:eastAsia="zh-CN"/>
            </w:rPr>
          </w:pPr>
          <w:r>
            <w:rPr>
              <w:rFonts w:hint="eastAsia" w:ascii="黑体" w:hAnsi="黑体" w:eastAsia="黑体" w:cs="黑体"/>
              <w:sz w:val="36"/>
              <w:szCs w:val="36"/>
              <w:highlight w:val="none"/>
              <w:lang w:val="en-US" w:eastAsia="zh-CN"/>
            </w:rPr>
            <w:t>专栏目录</w:t>
          </w:r>
        </w:p>
        <w:p w14:paraId="1B1D5A4F">
          <w:pPr>
            <w:pStyle w:val="15"/>
            <w:tabs>
              <w:tab w:val="right" w:leader="dot" w:pos="8844"/>
              <w:tab w:val="clear" w:pos="8777"/>
            </w:tabs>
            <w:rPr>
              <w:highlight w:val="none"/>
            </w:rPr>
          </w:pPr>
          <w:r>
            <w:rPr>
              <w:highlight w:val="none"/>
            </w:rPr>
            <w:fldChar w:fldCharType="begin"/>
          </w:r>
          <w:r>
            <w:rPr>
              <w:highlight w:val="none"/>
            </w:rPr>
            <w:instrText xml:space="preserve">TOC \o "1-3" \h \u </w:instrText>
          </w:r>
          <w:r>
            <w:rPr>
              <w:highlight w:val="none"/>
            </w:rPr>
            <w:fldChar w:fldCharType="separate"/>
          </w:r>
        </w:p>
        <w:p w14:paraId="7BA6D03D">
          <w:pPr>
            <w:pStyle w:val="9"/>
            <w:keepNext w:val="0"/>
            <w:keepLines w:val="0"/>
            <w:pageBreakBefore w:val="0"/>
            <w:widowControl w:val="0"/>
            <w:tabs>
              <w:tab w:val="right" w:leader="dot" w:pos="8844"/>
            </w:tabs>
            <w:kinsoku/>
            <w:wordWrap/>
            <w:overflowPunct w:val="0"/>
            <w:topLinePunct w:val="0"/>
            <w:autoSpaceDE/>
            <w:autoSpaceDN/>
            <w:bidi w:val="0"/>
            <w:adjustRightInd w:val="0"/>
            <w:snapToGrid w:val="0"/>
            <w:ind w:left="0" w:leftChars="0"/>
            <w:textAlignment w:val="auto"/>
            <w:rPr>
              <w:rFonts w:hint="eastAsia" w:ascii="黑体" w:hAnsi="黑体" w:eastAsia="黑体" w:cs="黑体"/>
              <w:sz w:val="28"/>
              <w:szCs w:val="21"/>
              <w:highlight w:val="none"/>
            </w:rPr>
          </w:pP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HYPERLINK \l _Toc26407 </w:instrText>
          </w:r>
          <w:r>
            <w:rPr>
              <w:rFonts w:hint="eastAsia" w:ascii="黑体" w:hAnsi="黑体" w:eastAsia="黑体" w:cs="黑体"/>
              <w:sz w:val="28"/>
              <w:szCs w:val="21"/>
              <w:highlight w:val="none"/>
            </w:rPr>
            <w:fldChar w:fldCharType="separate"/>
          </w:r>
          <w:r>
            <w:rPr>
              <w:rFonts w:hint="eastAsia" w:ascii="黑体" w:hAnsi="黑体" w:eastAsia="黑体" w:cs="黑体"/>
              <w:bCs w:val="0"/>
              <w:spacing w:val="0"/>
              <w:kern w:val="2"/>
              <w:sz w:val="28"/>
              <w:szCs w:val="24"/>
              <w:highlight w:val="none"/>
              <w:lang w:val="en-US" w:eastAsia="zh-CN"/>
            </w:rPr>
            <w:t>专栏1  海峡两岸产业合作区重点项目</w:t>
          </w:r>
          <w:r>
            <w:rPr>
              <w:rFonts w:hint="eastAsia" w:ascii="黑体" w:hAnsi="黑体" w:eastAsia="黑体" w:cs="黑体"/>
              <w:sz w:val="28"/>
              <w:szCs w:val="21"/>
              <w:highlight w:val="none"/>
            </w:rPr>
            <w:tab/>
          </w: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PAGEREF _Toc26407 \h </w:instrText>
          </w:r>
          <w:r>
            <w:rPr>
              <w:rFonts w:hint="eastAsia" w:ascii="黑体" w:hAnsi="黑体" w:eastAsia="黑体" w:cs="黑体"/>
              <w:sz w:val="28"/>
              <w:szCs w:val="21"/>
              <w:highlight w:val="none"/>
            </w:rPr>
            <w:fldChar w:fldCharType="separate"/>
          </w:r>
          <w:r>
            <w:rPr>
              <w:rFonts w:hint="eastAsia" w:ascii="黑体" w:hAnsi="黑体" w:eastAsia="黑体" w:cs="黑体"/>
              <w:sz w:val="28"/>
              <w:szCs w:val="21"/>
              <w:highlight w:val="none"/>
            </w:rPr>
            <w:t>24</w:t>
          </w:r>
          <w:r>
            <w:rPr>
              <w:rFonts w:hint="eastAsia" w:ascii="黑体" w:hAnsi="黑体" w:eastAsia="黑体" w:cs="黑体"/>
              <w:sz w:val="28"/>
              <w:szCs w:val="21"/>
              <w:highlight w:val="none"/>
            </w:rPr>
            <w:fldChar w:fldCharType="end"/>
          </w:r>
          <w:r>
            <w:rPr>
              <w:rFonts w:hint="eastAsia" w:ascii="黑体" w:hAnsi="黑体" w:eastAsia="黑体" w:cs="黑体"/>
              <w:sz w:val="28"/>
              <w:szCs w:val="21"/>
              <w:highlight w:val="none"/>
            </w:rPr>
            <w:fldChar w:fldCharType="end"/>
          </w:r>
        </w:p>
        <w:p w14:paraId="2B627EA3">
          <w:pPr>
            <w:pStyle w:val="9"/>
            <w:keepNext w:val="0"/>
            <w:keepLines w:val="0"/>
            <w:pageBreakBefore w:val="0"/>
            <w:widowControl w:val="0"/>
            <w:tabs>
              <w:tab w:val="right" w:leader="dot" w:pos="8844"/>
            </w:tabs>
            <w:kinsoku/>
            <w:wordWrap/>
            <w:overflowPunct w:val="0"/>
            <w:topLinePunct w:val="0"/>
            <w:autoSpaceDE/>
            <w:autoSpaceDN/>
            <w:bidi w:val="0"/>
            <w:adjustRightInd w:val="0"/>
            <w:snapToGrid w:val="0"/>
            <w:ind w:left="0" w:leftChars="0"/>
            <w:textAlignment w:val="auto"/>
            <w:rPr>
              <w:rFonts w:hint="eastAsia" w:ascii="黑体" w:hAnsi="黑体" w:eastAsia="黑体" w:cs="黑体"/>
              <w:sz w:val="28"/>
              <w:szCs w:val="21"/>
              <w:highlight w:val="none"/>
            </w:rPr>
          </w:pP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HYPERLINK \l _Toc918 </w:instrText>
          </w:r>
          <w:r>
            <w:rPr>
              <w:rFonts w:hint="eastAsia" w:ascii="黑体" w:hAnsi="黑体" w:eastAsia="黑体" w:cs="黑体"/>
              <w:sz w:val="28"/>
              <w:szCs w:val="21"/>
              <w:highlight w:val="none"/>
            </w:rPr>
            <w:fldChar w:fldCharType="separate"/>
          </w:r>
          <w:r>
            <w:rPr>
              <w:rFonts w:hint="eastAsia" w:ascii="黑体" w:hAnsi="黑体" w:eastAsia="黑体" w:cs="黑体"/>
              <w:bCs w:val="0"/>
              <w:spacing w:val="0"/>
              <w:kern w:val="2"/>
              <w:sz w:val="28"/>
              <w:szCs w:val="24"/>
              <w:highlight w:val="none"/>
              <w:lang w:val="en-US" w:eastAsia="zh-CN"/>
            </w:rPr>
            <w:t>专栏2  “3＋2”产业链重点发展方向</w:t>
          </w:r>
          <w:r>
            <w:rPr>
              <w:rFonts w:hint="eastAsia" w:ascii="黑体" w:hAnsi="黑体" w:eastAsia="黑体" w:cs="黑体"/>
              <w:sz w:val="28"/>
              <w:szCs w:val="21"/>
              <w:highlight w:val="none"/>
            </w:rPr>
            <w:tab/>
          </w: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PAGEREF _Toc918 \h </w:instrText>
          </w:r>
          <w:r>
            <w:rPr>
              <w:rFonts w:hint="eastAsia" w:ascii="黑体" w:hAnsi="黑体" w:eastAsia="黑体" w:cs="黑体"/>
              <w:sz w:val="28"/>
              <w:szCs w:val="21"/>
              <w:highlight w:val="none"/>
            </w:rPr>
            <w:fldChar w:fldCharType="separate"/>
          </w:r>
          <w:r>
            <w:rPr>
              <w:rFonts w:hint="eastAsia" w:ascii="黑体" w:hAnsi="黑体" w:eastAsia="黑体" w:cs="黑体"/>
              <w:sz w:val="28"/>
              <w:szCs w:val="21"/>
              <w:highlight w:val="none"/>
            </w:rPr>
            <w:t>27</w:t>
          </w:r>
          <w:r>
            <w:rPr>
              <w:rFonts w:hint="eastAsia" w:ascii="黑体" w:hAnsi="黑体" w:eastAsia="黑体" w:cs="黑体"/>
              <w:sz w:val="28"/>
              <w:szCs w:val="21"/>
              <w:highlight w:val="none"/>
            </w:rPr>
            <w:fldChar w:fldCharType="end"/>
          </w:r>
          <w:r>
            <w:rPr>
              <w:rFonts w:hint="eastAsia" w:ascii="黑体" w:hAnsi="黑体" w:eastAsia="黑体" w:cs="黑体"/>
              <w:sz w:val="28"/>
              <w:szCs w:val="21"/>
              <w:highlight w:val="none"/>
            </w:rPr>
            <w:fldChar w:fldCharType="end"/>
          </w:r>
        </w:p>
        <w:p w14:paraId="4534B7BB">
          <w:pPr>
            <w:pStyle w:val="9"/>
            <w:keepNext w:val="0"/>
            <w:keepLines w:val="0"/>
            <w:pageBreakBefore w:val="0"/>
            <w:widowControl w:val="0"/>
            <w:tabs>
              <w:tab w:val="right" w:leader="dot" w:pos="8844"/>
            </w:tabs>
            <w:kinsoku/>
            <w:wordWrap/>
            <w:overflowPunct w:val="0"/>
            <w:topLinePunct w:val="0"/>
            <w:autoSpaceDE/>
            <w:autoSpaceDN/>
            <w:bidi w:val="0"/>
            <w:adjustRightInd w:val="0"/>
            <w:snapToGrid w:val="0"/>
            <w:ind w:left="0" w:leftChars="0"/>
            <w:textAlignment w:val="auto"/>
            <w:rPr>
              <w:rFonts w:hint="eastAsia" w:ascii="黑体" w:hAnsi="黑体" w:eastAsia="黑体" w:cs="黑体"/>
              <w:sz w:val="28"/>
              <w:szCs w:val="21"/>
              <w:highlight w:val="none"/>
            </w:rPr>
          </w:pP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HYPERLINK \l _Toc21713 </w:instrText>
          </w:r>
          <w:r>
            <w:rPr>
              <w:rFonts w:hint="eastAsia" w:ascii="黑体" w:hAnsi="黑体" w:eastAsia="黑体" w:cs="黑体"/>
              <w:sz w:val="28"/>
              <w:szCs w:val="21"/>
              <w:highlight w:val="none"/>
            </w:rPr>
            <w:fldChar w:fldCharType="separate"/>
          </w:r>
          <w:r>
            <w:rPr>
              <w:rFonts w:hint="eastAsia" w:ascii="黑体" w:hAnsi="黑体" w:eastAsia="黑体" w:cs="黑体"/>
              <w:bCs w:val="0"/>
              <w:spacing w:val="0"/>
              <w:kern w:val="2"/>
              <w:sz w:val="28"/>
              <w:szCs w:val="24"/>
              <w:highlight w:val="none"/>
              <w:lang w:val="en-US" w:eastAsia="zh-CN"/>
            </w:rPr>
            <w:t>专栏3  重点发展产业集群</w:t>
          </w:r>
          <w:r>
            <w:rPr>
              <w:rFonts w:hint="eastAsia" w:ascii="黑体" w:hAnsi="黑体" w:eastAsia="黑体" w:cs="黑体"/>
              <w:sz w:val="28"/>
              <w:szCs w:val="21"/>
              <w:highlight w:val="none"/>
            </w:rPr>
            <w:tab/>
          </w: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PAGEREF _Toc21713 \h </w:instrText>
          </w:r>
          <w:r>
            <w:rPr>
              <w:rFonts w:hint="eastAsia" w:ascii="黑体" w:hAnsi="黑体" w:eastAsia="黑体" w:cs="黑体"/>
              <w:sz w:val="28"/>
              <w:szCs w:val="21"/>
              <w:highlight w:val="none"/>
            </w:rPr>
            <w:fldChar w:fldCharType="separate"/>
          </w:r>
          <w:r>
            <w:rPr>
              <w:rFonts w:hint="eastAsia" w:ascii="黑体" w:hAnsi="黑体" w:eastAsia="黑体" w:cs="黑体"/>
              <w:sz w:val="28"/>
              <w:szCs w:val="21"/>
              <w:highlight w:val="none"/>
            </w:rPr>
            <w:t>28</w:t>
          </w:r>
          <w:r>
            <w:rPr>
              <w:rFonts w:hint="eastAsia" w:ascii="黑体" w:hAnsi="黑体" w:eastAsia="黑体" w:cs="黑体"/>
              <w:sz w:val="28"/>
              <w:szCs w:val="21"/>
              <w:highlight w:val="none"/>
            </w:rPr>
            <w:fldChar w:fldCharType="end"/>
          </w:r>
          <w:r>
            <w:rPr>
              <w:rFonts w:hint="eastAsia" w:ascii="黑体" w:hAnsi="黑体" w:eastAsia="黑体" w:cs="黑体"/>
              <w:sz w:val="28"/>
              <w:szCs w:val="21"/>
              <w:highlight w:val="none"/>
            </w:rPr>
            <w:fldChar w:fldCharType="end"/>
          </w:r>
        </w:p>
        <w:p w14:paraId="70EF220A">
          <w:pPr>
            <w:pStyle w:val="9"/>
            <w:keepNext w:val="0"/>
            <w:keepLines w:val="0"/>
            <w:pageBreakBefore w:val="0"/>
            <w:widowControl w:val="0"/>
            <w:tabs>
              <w:tab w:val="right" w:leader="dot" w:pos="8844"/>
            </w:tabs>
            <w:kinsoku/>
            <w:wordWrap/>
            <w:overflowPunct w:val="0"/>
            <w:topLinePunct w:val="0"/>
            <w:autoSpaceDE/>
            <w:autoSpaceDN/>
            <w:bidi w:val="0"/>
            <w:adjustRightInd w:val="0"/>
            <w:snapToGrid w:val="0"/>
            <w:ind w:left="0" w:leftChars="0"/>
            <w:textAlignment w:val="auto"/>
            <w:rPr>
              <w:rFonts w:hint="eastAsia" w:ascii="黑体" w:hAnsi="黑体" w:eastAsia="黑体" w:cs="黑体"/>
              <w:sz w:val="28"/>
              <w:szCs w:val="21"/>
              <w:highlight w:val="none"/>
            </w:rPr>
          </w:pP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HYPERLINK \l _Toc2482 </w:instrText>
          </w:r>
          <w:r>
            <w:rPr>
              <w:rFonts w:hint="eastAsia" w:ascii="黑体" w:hAnsi="黑体" w:eastAsia="黑体" w:cs="黑体"/>
              <w:sz w:val="28"/>
              <w:szCs w:val="21"/>
              <w:highlight w:val="none"/>
            </w:rPr>
            <w:fldChar w:fldCharType="separate"/>
          </w:r>
          <w:r>
            <w:rPr>
              <w:rFonts w:hint="eastAsia" w:ascii="黑体" w:hAnsi="黑体" w:eastAsia="黑体" w:cs="黑体"/>
              <w:bCs w:val="0"/>
              <w:spacing w:val="0"/>
              <w:kern w:val="2"/>
              <w:sz w:val="28"/>
              <w:szCs w:val="24"/>
              <w:highlight w:val="none"/>
              <w:lang w:val="en-US" w:eastAsia="zh-CN"/>
            </w:rPr>
            <w:t>专栏4  现代化服务业提升行动</w:t>
          </w:r>
          <w:r>
            <w:rPr>
              <w:rFonts w:hint="eastAsia" w:ascii="黑体" w:hAnsi="黑体" w:eastAsia="黑体" w:cs="黑体"/>
              <w:sz w:val="28"/>
              <w:szCs w:val="21"/>
              <w:highlight w:val="none"/>
            </w:rPr>
            <w:tab/>
          </w: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PAGEREF _Toc2482 \h </w:instrText>
          </w:r>
          <w:r>
            <w:rPr>
              <w:rFonts w:hint="eastAsia" w:ascii="黑体" w:hAnsi="黑体" w:eastAsia="黑体" w:cs="黑体"/>
              <w:sz w:val="28"/>
              <w:szCs w:val="21"/>
              <w:highlight w:val="none"/>
            </w:rPr>
            <w:fldChar w:fldCharType="separate"/>
          </w:r>
          <w:r>
            <w:rPr>
              <w:rFonts w:hint="eastAsia" w:ascii="黑体" w:hAnsi="黑体" w:eastAsia="黑体" w:cs="黑体"/>
              <w:sz w:val="28"/>
              <w:szCs w:val="21"/>
              <w:highlight w:val="none"/>
            </w:rPr>
            <w:t>32</w:t>
          </w:r>
          <w:r>
            <w:rPr>
              <w:rFonts w:hint="eastAsia" w:ascii="黑体" w:hAnsi="黑体" w:eastAsia="黑体" w:cs="黑体"/>
              <w:sz w:val="28"/>
              <w:szCs w:val="21"/>
              <w:highlight w:val="none"/>
            </w:rPr>
            <w:fldChar w:fldCharType="end"/>
          </w:r>
          <w:r>
            <w:rPr>
              <w:rFonts w:hint="eastAsia" w:ascii="黑体" w:hAnsi="黑体" w:eastAsia="黑体" w:cs="黑体"/>
              <w:sz w:val="28"/>
              <w:szCs w:val="21"/>
              <w:highlight w:val="none"/>
            </w:rPr>
            <w:fldChar w:fldCharType="end"/>
          </w:r>
        </w:p>
        <w:p w14:paraId="43A45232">
          <w:pPr>
            <w:pStyle w:val="9"/>
            <w:keepNext w:val="0"/>
            <w:keepLines w:val="0"/>
            <w:pageBreakBefore w:val="0"/>
            <w:widowControl w:val="0"/>
            <w:tabs>
              <w:tab w:val="right" w:leader="dot" w:pos="8844"/>
            </w:tabs>
            <w:kinsoku/>
            <w:wordWrap/>
            <w:overflowPunct w:val="0"/>
            <w:topLinePunct w:val="0"/>
            <w:autoSpaceDE/>
            <w:autoSpaceDN/>
            <w:bidi w:val="0"/>
            <w:adjustRightInd w:val="0"/>
            <w:snapToGrid w:val="0"/>
            <w:ind w:left="0" w:leftChars="0"/>
            <w:textAlignment w:val="auto"/>
            <w:rPr>
              <w:rFonts w:hint="eastAsia" w:ascii="黑体" w:hAnsi="黑体" w:eastAsia="黑体" w:cs="黑体"/>
              <w:sz w:val="28"/>
              <w:szCs w:val="21"/>
              <w:highlight w:val="none"/>
            </w:rPr>
          </w:pP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HYPERLINK \l _Toc23189 </w:instrText>
          </w:r>
          <w:r>
            <w:rPr>
              <w:rFonts w:hint="eastAsia" w:ascii="黑体" w:hAnsi="黑体" w:eastAsia="黑体" w:cs="黑体"/>
              <w:sz w:val="28"/>
              <w:szCs w:val="21"/>
              <w:highlight w:val="none"/>
            </w:rPr>
            <w:fldChar w:fldCharType="separate"/>
          </w:r>
          <w:r>
            <w:rPr>
              <w:rFonts w:hint="eastAsia" w:ascii="黑体" w:hAnsi="黑体" w:eastAsia="黑体" w:cs="黑体"/>
              <w:bCs w:val="0"/>
              <w:spacing w:val="0"/>
              <w:kern w:val="2"/>
              <w:sz w:val="28"/>
              <w:szCs w:val="24"/>
              <w:highlight w:val="none"/>
              <w:lang w:val="en-US" w:eastAsia="zh-CN"/>
            </w:rPr>
            <w:t>专栏5  科技创新重大设施平台</w:t>
          </w:r>
          <w:r>
            <w:rPr>
              <w:rFonts w:hint="eastAsia" w:ascii="黑体" w:hAnsi="黑体" w:eastAsia="黑体" w:cs="黑体"/>
              <w:sz w:val="28"/>
              <w:szCs w:val="21"/>
              <w:highlight w:val="none"/>
            </w:rPr>
            <w:tab/>
          </w: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PAGEREF _Toc23189 \h </w:instrText>
          </w:r>
          <w:r>
            <w:rPr>
              <w:rFonts w:hint="eastAsia" w:ascii="黑体" w:hAnsi="黑体" w:eastAsia="黑体" w:cs="黑体"/>
              <w:sz w:val="28"/>
              <w:szCs w:val="21"/>
              <w:highlight w:val="none"/>
            </w:rPr>
            <w:fldChar w:fldCharType="separate"/>
          </w:r>
          <w:r>
            <w:rPr>
              <w:rFonts w:hint="eastAsia" w:ascii="黑体" w:hAnsi="黑体" w:eastAsia="黑体" w:cs="黑体"/>
              <w:sz w:val="28"/>
              <w:szCs w:val="21"/>
              <w:highlight w:val="none"/>
            </w:rPr>
            <w:t>40</w:t>
          </w:r>
          <w:r>
            <w:rPr>
              <w:rFonts w:hint="eastAsia" w:ascii="黑体" w:hAnsi="黑体" w:eastAsia="黑体" w:cs="黑体"/>
              <w:sz w:val="28"/>
              <w:szCs w:val="21"/>
              <w:highlight w:val="none"/>
            </w:rPr>
            <w:fldChar w:fldCharType="end"/>
          </w:r>
          <w:r>
            <w:rPr>
              <w:rFonts w:hint="eastAsia" w:ascii="黑体" w:hAnsi="黑体" w:eastAsia="黑体" w:cs="黑体"/>
              <w:sz w:val="28"/>
              <w:szCs w:val="21"/>
              <w:highlight w:val="none"/>
            </w:rPr>
            <w:fldChar w:fldCharType="end"/>
          </w:r>
        </w:p>
        <w:p w14:paraId="1BE53A55">
          <w:pPr>
            <w:pStyle w:val="9"/>
            <w:keepNext w:val="0"/>
            <w:keepLines w:val="0"/>
            <w:pageBreakBefore w:val="0"/>
            <w:widowControl w:val="0"/>
            <w:tabs>
              <w:tab w:val="right" w:leader="dot" w:pos="8844"/>
            </w:tabs>
            <w:kinsoku/>
            <w:wordWrap/>
            <w:overflowPunct w:val="0"/>
            <w:topLinePunct w:val="0"/>
            <w:autoSpaceDE/>
            <w:autoSpaceDN/>
            <w:bidi w:val="0"/>
            <w:adjustRightInd w:val="0"/>
            <w:snapToGrid w:val="0"/>
            <w:ind w:left="0" w:leftChars="0"/>
            <w:textAlignment w:val="auto"/>
            <w:rPr>
              <w:rFonts w:hint="eastAsia" w:ascii="黑体" w:hAnsi="黑体" w:eastAsia="黑体" w:cs="黑体"/>
              <w:sz w:val="28"/>
              <w:szCs w:val="21"/>
              <w:highlight w:val="none"/>
            </w:rPr>
          </w:pP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HYPERLINK \l _Toc1341 </w:instrText>
          </w:r>
          <w:r>
            <w:rPr>
              <w:rFonts w:hint="eastAsia" w:ascii="黑体" w:hAnsi="黑体" w:eastAsia="黑体" w:cs="黑体"/>
              <w:sz w:val="28"/>
              <w:szCs w:val="21"/>
              <w:highlight w:val="none"/>
            </w:rPr>
            <w:fldChar w:fldCharType="separate"/>
          </w:r>
          <w:r>
            <w:rPr>
              <w:rFonts w:hint="eastAsia" w:ascii="黑体" w:hAnsi="黑体" w:eastAsia="黑体" w:cs="黑体"/>
              <w:bCs w:val="0"/>
              <w:spacing w:val="0"/>
              <w:kern w:val="2"/>
              <w:sz w:val="28"/>
              <w:szCs w:val="24"/>
              <w:highlight w:val="none"/>
              <w:lang w:val="en-US" w:eastAsia="zh-CN"/>
            </w:rPr>
            <w:t>专栏6  现代农业重点项目</w:t>
          </w:r>
          <w:r>
            <w:rPr>
              <w:rFonts w:hint="eastAsia" w:ascii="黑体" w:hAnsi="黑体" w:eastAsia="黑体" w:cs="黑体"/>
              <w:sz w:val="28"/>
              <w:szCs w:val="21"/>
              <w:highlight w:val="none"/>
            </w:rPr>
            <w:tab/>
          </w: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PAGEREF _Toc1341 \h </w:instrText>
          </w:r>
          <w:r>
            <w:rPr>
              <w:rFonts w:hint="eastAsia" w:ascii="黑体" w:hAnsi="黑体" w:eastAsia="黑体" w:cs="黑体"/>
              <w:sz w:val="28"/>
              <w:szCs w:val="21"/>
              <w:highlight w:val="none"/>
            </w:rPr>
            <w:fldChar w:fldCharType="separate"/>
          </w:r>
          <w:r>
            <w:rPr>
              <w:rFonts w:hint="eastAsia" w:ascii="黑体" w:hAnsi="黑体" w:eastAsia="黑体" w:cs="黑体"/>
              <w:sz w:val="28"/>
              <w:szCs w:val="21"/>
              <w:highlight w:val="none"/>
            </w:rPr>
            <w:t>51</w:t>
          </w:r>
          <w:r>
            <w:rPr>
              <w:rFonts w:hint="eastAsia" w:ascii="黑体" w:hAnsi="黑体" w:eastAsia="黑体" w:cs="黑体"/>
              <w:sz w:val="28"/>
              <w:szCs w:val="21"/>
              <w:highlight w:val="none"/>
            </w:rPr>
            <w:fldChar w:fldCharType="end"/>
          </w:r>
          <w:r>
            <w:rPr>
              <w:rFonts w:hint="eastAsia" w:ascii="黑体" w:hAnsi="黑体" w:eastAsia="黑体" w:cs="黑体"/>
              <w:sz w:val="28"/>
              <w:szCs w:val="21"/>
              <w:highlight w:val="none"/>
            </w:rPr>
            <w:fldChar w:fldCharType="end"/>
          </w:r>
        </w:p>
        <w:p w14:paraId="6458FA7B">
          <w:pPr>
            <w:pStyle w:val="9"/>
            <w:keepNext w:val="0"/>
            <w:keepLines w:val="0"/>
            <w:pageBreakBefore w:val="0"/>
            <w:widowControl w:val="0"/>
            <w:tabs>
              <w:tab w:val="right" w:leader="dot" w:pos="8844"/>
            </w:tabs>
            <w:kinsoku/>
            <w:wordWrap/>
            <w:overflowPunct w:val="0"/>
            <w:topLinePunct w:val="0"/>
            <w:autoSpaceDE/>
            <w:autoSpaceDN/>
            <w:bidi w:val="0"/>
            <w:adjustRightInd w:val="0"/>
            <w:snapToGrid w:val="0"/>
            <w:ind w:left="0" w:leftChars="0"/>
            <w:textAlignment w:val="auto"/>
            <w:rPr>
              <w:rFonts w:hint="eastAsia" w:ascii="黑体" w:hAnsi="黑体" w:eastAsia="黑体" w:cs="黑体"/>
              <w:sz w:val="28"/>
              <w:szCs w:val="21"/>
              <w:highlight w:val="none"/>
            </w:rPr>
          </w:pP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HYPERLINK \l _Toc10527 </w:instrText>
          </w:r>
          <w:r>
            <w:rPr>
              <w:rFonts w:hint="eastAsia" w:ascii="黑体" w:hAnsi="黑体" w:eastAsia="黑体" w:cs="黑体"/>
              <w:sz w:val="28"/>
              <w:szCs w:val="21"/>
              <w:highlight w:val="none"/>
            </w:rPr>
            <w:fldChar w:fldCharType="separate"/>
          </w:r>
          <w:r>
            <w:rPr>
              <w:rFonts w:hint="eastAsia" w:ascii="黑体" w:hAnsi="黑体" w:eastAsia="黑体" w:cs="黑体"/>
              <w:bCs w:val="0"/>
              <w:spacing w:val="0"/>
              <w:kern w:val="2"/>
              <w:sz w:val="28"/>
              <w:szCs w:val="24"/>
              <w:highlight w:val="none"/>
              <w:lang w:val="zh-CN" w:eastAsia="zh-CN"/>
            </w:rPr>
            <w:t>专栏</w:t>
          </w:r>
          <w:r>
            <w:rPr>
              <w:rFonts w:hint="eastAsia" w:ascii="黑体" w:hAnsi="黑体" w:eastAsia="黑体" w:cs="黑体"/>
              <w:bCs w:val="0"/>
              <w:spacing w:val="0"/>
              <w:kern w:val="2"/>
              <w:sz w:val="28"/>
              <w:szCs w:val="24"/>
              <w:highlight w:val="none"/>
              <w:lang w:val="en-US" w:eastAsia="zh-CN"/>
            </w:rPr>
            <w:t xml:space="preserve">7  </w:t>
          </w:r>
          <w:r>
            <w:rPr>
              <w:rFonts w:hint="eastAsia" w:ascii="黑体" w:hAnsi="黑体" w:eastAsia="黑体" w:cs="黑体"/>
              <w:bCs w:val="0"/>
              <w:spacing w:val="0"/>
              <w:kern w:val="2"/>
              <w:sz w:val="28"/>
              <w:szCs w:val="24"/>
              <w:highlight w:val="none"/>
              <w:lang w:val="zh-CN" w:eastAsia="zh-CN"/>
            </w:rPr>
            <w:t>交通领域重点建设项目</w:t>
          </w:r>
          <w:r>
            <w:rPr>
              <w:rFonts w:hint="eastAsia" w:ascii="黑体" w:hAnsi="黑体" w:eastAsia="黑体" w:cs="黑体"/>
              <w:sz w:val="28"/>
              <w:szCs w:val="21"/>
              <w:highlight w:val="none"/>
            </w:rPr>
            <w:tab/>
          </w: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PAGEREF _Toc10527 \h </w:instrText>
          </w:r>
          <w:r>
            <w:rPr>
              <w:rFonts w:hint="eastAsia" w:ascii="黑体" w:hAnsi="黑体" w:eastAsia="黑体" w:cs="黑体"/>
              <w:sz w:val="28"/>
              <w:szCs w:val="21"/>
              <w:highlight w:val="none"/>
            </w:rPr>
            <w:fldChar w:fldCharType="separate"/>
          </w:r>
          <w:r>
            <w:rPr>
              <w:rFonts w:hint="eastAsia" w:ascii="黑体" w:hAnsi="黑体" w:eastAsia="黑体" w:cs="黑体"/>
              <w:sz w:val="28"/>
              <w:szCs w:val="21"/>
              <w:highlight w:val="none"/>
            </w:rPr>
            <w:t>58</w:t>
          </w:r>
          <w:r>
            <w:rPr>
              <w:rFonts w:hint="eastAsia" w:ascii="黑体" w:hAnsi="黑体" w:eastAsia="黑体" w:cs="黑体"/>
              <w:sz w:val="28"/>
              <w:szCs w:val="21"/>
              <w:highlight w:val="none"/>
            </w:rPr>
            <w:fldChar w:fldCharType="end"/>
          </w:r>
          <w:r>
            <w:rPr>
              <w:rFonts w:hint="eastAsia" w:ascii="黑体" w:hAnsi="黑体" w:eastAsia="黑体" w:cs="黑体"/>
              <w:sz w:val="28"/>
              <w:szCs w:val="21"/>
              <w:highlight w:val="none"/>
            </w:rPr>
            <w:fldChar w:fldCharType="end"/>
          </w:r>
        </w:p>
        <w:p w14:paraId="2A5B5409">
          <w:pPr>
            <w:pStyle w:val="9"/>
            <w:keepNext w:val="0"/>
            <w:keepLines w:val="0"/>
            <w:pageBreakBefore w:val="0"/>
            <w:widowControl w:val="0"/>
            <w:tabs>
              <w:tab w:val="right" w:leader="dot" w:pos="8844"/>
            </w:tabs>
            <w:kinsoku/>
            <w:wordWrap/>
            <w:overflowPunct w:val="0"/>
            <w:topLinePunct w:val="0"/>
            <w:autoSpaceDE/>
            <w:autoSpaceDN/>
            <w:bidi w:val="0"/>
            <w:adjustRightInd w:val="0"/>
            <w:snapToGrid w:val="0"/>
            <w:ind w:left="0" w:leftChars="0"/>
            <w:textAlignment w:val="auto"/>
            <w:rPr>
              <w:rFonts w:hint="eastAsia" w:ascii="黑体" w:hAnsi="黑体" w:eastAsia="黑体" w:cs="黑体"/>
              <w:sz w:val="28"/>
              <w:szCs w:val="21"/>
              <w:highlight w:val="none"/>
            </w:rPr>
          </w:pP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HYPERLINK \l _Toc9830 </w:instrText>
          </w:r>
          <w:r>
            <w:rPr>
              <w:rFonts w:hint="eastAsia" w:ascii="黑体" w:hAnsi="黑体" w:eastAsia="黑体" w:cs="黑体"/>
              <w:sz w:val="28"/>
              <w:szCs w:val="21"/>
              <w:highlight w:val="none"/>
            </w:rPr>
            <w:fldChar w:fldCharType="separate"/>
          </w:r>
          <w:r>
            <w:rPr>
              <w:rFonts w:hint="eastAsia" w:ascii="黑体" w:hAnsi="黑体" w:eastAsia="黑体" w:cs="黑体"/>
              <w:bCs w:val="0"/>
              <w:spacing w:val="0"/>
              <w:kern w:val="2"/>
              <w:sz w:val="28"/>
              <w:szCs w:val="24"/>
              <w:highlight w:val="none"/>
              <w:lang w:val="en-US" w:eastAsia="zh-CN"/>
            </w:rPr>
            <w:t>专栏8  能源领域重点项目</w:t>
          </w:r>
          <w:r>
            <w:rPr>
              <w:rFonts w:hint="eastAsia" w:ascii="黑体" w:hAnsi="黑体" w:eastAsia="黑体" w:cs="黑体"/>
              <w:sz w:val="28"/>
              <w:szCs w:val="21"/>
              <w:highlight w:val="none"/>
            </w:rPr>
            <w:tab/>
          </w: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PAGEREF _Toc9830 \h </w:instrText>
          </w:r>
          <w:r>
            <w:rPr>
              <w:rFonts w:hint="eastAsia" w:ascii="黑体" w:hAnsi="黑体" w:eastAsia="黑体" w:cs="黑体"/>
              <w:sz w:val="28"/>
              <w:szCs w:val="21"/>
              <w:highlight w:val="none"/>
            </w:rPr>
            <w:fldChar w:fldCharType="separate"/>
          </w:r>
          <w:r>
            <w:rPr>
              <w:rFonts w:hint="eastAsia" w:ascii="黑体" w:hAnsi="黑体" w:eastAsia="黑体" w:cs="黑体"/>
              <w:sz w:val="28"/>
              <w:szCs w:val="21"/>
              <w:highlight w:val="none"/>
            </w:rPr>
            <w:t>60</w:t>
          </w:r>
          <w:r>
            <w:rPr>
              <w:rFonts w:hint="eastAsia" w:ascii="黑体" w:hAnsi="黑体" w:eastAsia="黑体" w:cs="黑体"/>
              <w:sz w:val="28"/>
              <w:szCs w:val="21"/>
              <w:highlight w:val="none"/>
            </w:rPr>
            <w:fldChar w:fldCharType="end"/>
          </w:r>
          <w:r>
            <w:rPr>
              <w:rFonts w:hint="eastAsia" w:ascii="黑体" w:hAnsi="黑体" w:eastAsia="黑体" w:cs="黑体"/>
              <w:sz w:val="28"/>
              <w:szCs w:val="21"/>
              <w:highlight w:val="none"/>
            </w:rPr>
            <w:fldChar w:fldCharType="end"/>
          </w:r>
        </w:p>
        <w:p w14:paraId="016FB0FF">
          <w:pPr>
            <w:pStyle w:val="9"/>
            <w:keepNext w:val="0"/>
            <w:keepLines w:val="0"/>
            <w:pageBreakBefore w:val="0"/>
            <w:widowControl w:val="0"/>
            <w:tabs>
              <w:tab w:val="right" w:leader="dot" w:pos="8844"/>
            </w:tabs>
            <w:kinsoku/>
            <w:wordWrap/>
            <w:overflowPunct w:val="0"/>
            <w:topLinePunct w:val="0"/>
            <w:autoSpaceDE/>
            <w:autoSpaceDN/>
            <w:bidi w:val="0"/>
            <w:adjustRightInd w:val="0"/>
            <w:snapToGrid w:val="0"/>
            <w:ind w:left="0" w:leftChars="0"/>
            <w:textAlignment w:val="auto"/>
            <w:rPr>
              <w:rFonts w:hint="eastAsia" w:ascii="黑体" w:hAnsi="黑体" w:eastAsia="黑体" w:cs="黑体"/>
              <w:sz w:val="28"/>
              <w:szCs w:val="21"/>
              <w:highlight w:val="none"/>
            </w:rPr>
          </w:pP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HYPERLINK \l _Toc11594 </w:instrText>
          </w:r>
          <w:r>
            <w:rPr>
              <w:rFonts w:hint="eastAsia" w:ascii="黑体" w:hAnsi="黑体" w:eastAsia="黑体" w:cs="黑体"/>
              <w:sz w:val="28"/>
              <w:szCs w:val="21"/>
              <w:highlight w:val="none"/>
            </w:rPr>
            <w:fldChar w:fldCharType="separate"/>
          </w:r>
          <w:r>
            <w:rPr>
              <w:rFonts w:hint="eastAsia" w:ascii="黑体" w:hAnsi="黑体" w:eastAsia="黑体" w:cs="黑体"/>
              <w:bCs w:val="0"/>
              <w:spacing w:val="0"/>
              <w:kern w:val="2"/>
              <w:sz w:val="28"/>
              <w:szCs w:val="24"/>
              <w:highlight w:val="none"/>
              <w:lang w:val="en-US" w:eastAsia="zh-CN"/>
            </w:rPr>
            <w:t>专栏9  水务领域重点建设项目</w:t>
          </w:r>
          <w:r>
            <w:rPr>
              <w:rFonts w:hint="eastAsia" w:ascii="黑体" w:hAnsi="黑体" w:eastAsia="黑体" w:cs="黑体"/>
              <w:sz w:val="28"/>
              <w:szCs w:val="21"/>
              <w:highlight w:val="none"/>
            </w:rPr>
            <w:tab/>
          </w: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PAGEREF _Toc11594 \h </w:instrText>
          </w:r>
          <w:r>
            <w:rPr>
              <w:rFonts w:hint="eastAsia" w:ascii="黑体" w:hAnsi="黑体" w:eastAsia="黑体" w:cs="黑体"/>
              <w:sz w:val="28"/>
              <w:szCs w:val="21"/>
              <w:highlight w:val="none"/>
            </w:rPr>
            <w:fldChar w:fldCharType="separate"/>
          </w:r>
          <w:r>
            <w:rPr>
              <w:rFonts w:hint="eastAsia" w:ascii="黑体" w:hAnsi="黑体" w:eastAsia="黑体" w:cs="黑体"/>
              <w:sz w:val="28"/>
              <w:szCs w:val="21"/>
              <w:highlight w:val="none"/>
            </w:rPr>
            <w:t>62</w:t>
          </w:r>
          <w:r>
            <w:rPr>
              <w:rFonts w:hint="eastAsia" w:ascii="黑体" w:hAnsi="黑体" w:eastAsia="黑体" w:cs="黑体"/>
              <w:sz w:val="28"/>
              <w:szCs w:val="21"/>
              <w:highlight w:val="none"/>
            </w:rPr>
            <w:fldChar w:fldCharType="end"/>
          </w:r>
          <w:r>
            <w:rPr>
              <w:rFonts w:hint="eastAsia" w:ascii="黑体" w:hAnsi="黑体" w:eastAsia="黑体" w:cs="黑体"/>
              <w:sz w:val="28"/>
              <w:szCs w:val="21"/>
              <w:highlight w:val="none"/>
            </w:rPr>
            <w:fldChar w:fldCharType="end"/>
          </w:r>
        </w:p>
        <w:p w14:paraId="440063CA">
          <w:pPr>
            <w:pStyle w:val="9"/>
            <w:keepNext w:val="0"/>
            <w:keepLines w:val="0"/>
            <w:pageBreakBefore w:val="0"/>
            <w:widowControl w:val="0"/>
            <w:tabs>
              <w:tab w:val="right" w:leader="dot" w:pos="8844"/>
            </w:tabs>
            <w:kinsoku/>
            <w:wordWrap/>
            <w:overflowPunct w:val="0"/>
            <w:topLinePunct w:val="0"/>
            <w:autoSpaceDE/>
            <w:autoSpaceDN/>
            <w:bidi w:val="0"/>
            <w:adjustRightInd w:val="0"/>
            <w:snapToGrid w:val="0"/>
            <w:ind w:left="0" w:leftChars="0"/>
            <w:textAlignment w:val="auto"/>
            <w:rPr>
              <w:rFonts w:hint="eastAsia" w:ascii="黑体" w:hAnsi="黑体" w:eastAsia="黑体" w:cs="黑体"/>
              <w:sz w:val="28"/>
              <w:szCs w:val="21"/>
              <w:highlight w:val="none"/>
            </w:rPr>
          </w:pP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HYPERLINK \l _Toc29980 </w:instrText>
          </w:r>
          <w:r>
            <w:rPr>
              <w:rFonts w:hint="eastAsia" w:ascii="黑体" w:hAnsi="黑体" w:eastAsia="黑体" w:cs="黑体"/>
              <w:sz w:val="28"/>
              <w:szCs w:val="21"/>
              <w:highlight w:val="none"/>
            </w:rPr>
            <w:fldChar w:fldCharType="separate"/>
          </w:r>
          <w:r>
            <w:rPr>
              <w:rFonts w:hint="eastAsia" w:ascii="黑体" w:hAnsi="黑体" w:eastAsia="黑体" w:cs="黑体"/>
              <w:bCs w:val="0"/>
              <w:spacing w:val="0"/>
              <w:kern w:val="2"/>
              <w:sz w:val="28"/>
              <w:szCs w:val="24"/>
              <w:highlight w:val="none"/>
              <w:lang w:val="en-US" w:eastAsia="zh-CN"/>
            </w:rPr>
            <w:t>专栏10 济南黄河北区域性消费中心建设重点任务</w:t>
          </w:r>
          <w:r>
            <w:rPr>
              <w:rFonts w:hint="eastAsia" w:ascii="黑体" w:hAnsi="黑体" w:eastAsia="黑体" w:cs="黑体"/>
              <w:sz w:val="28"/>
              <w:szCs w:val="21"/>
              <w:highlight w:val="none"/>
            </w:rPr>
            <w:tab/>
          </w: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PAGEREF _Toc29980 \h </w:instrText>
          </w:r>
          <w:r>
            <w:rPr>
              <w:rFonts w:hint="eastAsia" w:ascii="黑体" w:hAnsi="黑体" w:eastAsia="黑体" w:cs="黑体"/>
              <w:sz w:val="28"/>
              <w:szCs w:val="21"/>
              <w:highlight w:val="none"/>
            </w:rPr>
            <w:fldChar w:fldCharType="separate"/>
          </w:r>
          <w:r>
            <w:rPr>
              <w:rFonts w:hint="eastAsia" w:ascii="黑体" w:hAnsi="黑体" w:eastAsia="黑体" w:cs="黑体"/>
              <w:sz w:val="28"/>
              <w:szCs w:val="21"/>
              <w:highlight w:val="none"/>
            </w:rPr>
            <w:t>76</w:t>
          </w:r>
          <w:r>
            <w:rPr>
              <w:rFonts w:hint="eastAsia" w:ascii="黑体" w:hAnsi="黑体" w:eastAsia="黑体" w:cs="黑体"/>
              <w:sz w:val="28"/>
              <w:szCs w:val="21"/>
              <w:highlight w:val="none"/>
            </w:rPr>
            <w:fldChar w:fldCharType="end"/>
          </w:r>
          <w:r>
            <w:rPr>
              <w:rFonts w:hint="eastAsia" w:ascii="黑体" w:hAnsi="黑体" w:eastAsia="黑体" w:cs="黑体"/>
              <w:sz w:val="28"/>
              <w:szCs w:val="21"/>
              <w:highlight w:val="none"/>
            </w:rPr>
            <w:fldChar w:fldCharType="end"/>
          </w:r>
        </w:p>
        <w:p w14:paraId="27AF9C36">
          <w:pPr>
            <w:pStyle w:val="9"/>
            <w:keepNext w:val="0"/>
            <w:keepLines w:val="0"/>
            <w:pageBreakBefore w:val="0"/>
            <w:widowControl w:val="0"/>
            <w:tabs>
              <w:tab w:val="right" w:leader="dot" w:pos="8844"/>
            </w:tabs>
            <w:kinsoku/>
            <w:wordWrap/>
            <w:overflowPunct w:val="0"/>
            <w:topLinePunct w:val="0"/>
            <w:autoSpaceDE/>
            <w:autoSpaceDN/>
            <w:bidi w:val="0"/>
            <w:adjustRightInd w:val="0"/>
            <w:snapToGrid w:val="0"/>
            <w:ind w:left="0" w:leftChars="0"/>
            <w:textAlignment w:val="auto"/>
            <w:rPr>
              <w:rFonts w:hint="eastAsia" w:ascii="黑体" w:hAnsi="黑体" w:eastAsia="黑体" w:cs="黑体"/>
              <w:sz w:val="28"/>
              <w:szCs w:val="21"/>
              <w:highlight w:val="none"/>
            </w:rPr>
          </w:pP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HYPERLINK \l _Toc15618 </w:instrText>
          </w:r>
          <w:r>
            <w:rPr>
              <w:rFonts w:hint="eastAsia" w:ascii="黑体" w:hAnsi="黑体" w:eastAsia="黑体" w:cs="黑体"/>
              <w:sz w:val="28"/>
              <w:szCs w:val="21"/>
              <w:highlight w:val="none"/>
            </w:rPr>
            <w:fldChar w:fldCharType="separate"/>
          </w:r>
          <w:r>
            <w:rPr>
              <w:rFonts w:hint="eastAsia" w:ascii="黑体" w:hAnsi="黑体" w:eastAsia="黑体" w:cs="黑体"/>
              <w:bCs w:val="0"/>
              <w:spacing w:val="0"/>
              <w:kern w:val="2"/>
              <w:sz w:val="28"/>
              <w:szCs w:val="24"/>
              <w:highlight w:val="none"/>
              <w:lang w:val="en-US" w:eastAsia="zh-CN"/>
            </w:rPr>
            <w:t>专栏11 大力实施健康工程</w:t>
          </w:r>
          <w:r>
            <w:rPr>
              <w:rFonts w:hint="eastAsia" w:ascii="黑体" w:hAnsi="黑体" w:eastAsia="黑体" w:cs="黑体"/>
              <w:sz w:val="28"/>
              <w:szCs w:val="21"/>
              <w:highlight w:val="none"/>
            </w:rPr>
            <w:tab/>
          </w:r>
          <w:r>
            <w:rPr>
              <w:rFonts w:hint="eastAsia" w:ascii="黑体" w:hAnsi="黑体" w:eastAsia="黑体" w:cs="黑体"/>
              <w:sz w:val="28"/>
              <w:szCs w:val="21"/>
              <w:highlight w:val="none"/>
            </w:rPr>
            <w:fldChar w:fldCharType="begin"/>
          </w:r>
          <w:r>
            <w:rPr>
              <w:rFonts w:hint="eastAsia" w:ascii="黑体" w:hAnsi="黑体" w:eastAsia="黑体" w:cs="黑体"/>
              <w:sz w:val="28"/>
              <w:szCs w:val="21"/>
              <w:highlight w:val="none"/>
            </w:rPr>
            <w:instrText xml:space="preserve"> PAGEREF _Toc15618 \h </w:instrText>
          </w:r>
          <w:r>
            <w:rPr>
              <w:rFonts w:hint="eastAsia" w:ascii="黑体" w:hAnsi="黑体" w:eastAsia="黑体" w:cs="黑体"/>
              <w:sz w:val="28"/>
              <w:szCs w:val="21"/>
              <w:highlight w:val="none"/>
            </w:rPr>
            <w:fldChar w:fldCharType="separate"/>
          </w:r>
          <w:r>
            <w:rPr>
              <w:rFonts w:hint="eastAsia" w:ascii="黑体" w:hAnsi="黑体" w:eastAsia="黑体" w:cs="黑体"/>
              <w:sz w:val="28"/>
              <w:szCs w:val="21"/>
              <w:highlight w:val="none"/>
            </w:rPr>
            <w:t>104</w:t>
          </w:r>
          <w:r>
            <w:rPr>
              <w:rFonts w:hint="eastAsia" w:ascii="黑体" w:hAnsi="黑体" w:eastAsia="黑体" w:cs="黑体"/>
              <w:sz w:val="28"/>
              <w:szCs w:val="21"/>
              <w:highlight w:val="none"/>
            </w:rPr>
            <w:fldChar w:fldCharType="end"/>
          </w:r>
          <w:r>
            <w:rPr>
              <w:rFonts w:hint="eastAsia" w:ascii="黑体" w:hAnsi="黑体" w:eastAsia="黑体" w:cs="黑体"/>
              <w:sz w:val="28"/>
              <w:szCs w:val="21"/>
              <w:highlight w:val="none"/>
            </w:rPr>
            <w:fldChar w:fldCharType="end"/>
          </w:r>
        </w:p>
        <w:p w14:paraId="1F4D62E3">
          <w:pPr>
            <w:pStyle w:val="15"/>
            <w:tabs>
              <w:tab w:val="right" w:leader="dot" w:pos="8844"/>
              <w:tab w:val="clear" w:pos="8777"/>
            </w:tabs>
            <w:rPr>
              <w:highlight w:val="none"/>
            </w:rPr>
          </w:pPr>
        </w:p>
        <w:p w14:paraId="42EC3F48">
          <w:pPr>
            <w:pStyle w:val="15"/>
            <w:tabs>
              <w:tab w:val="right" w:leader="dot" w:pos="8844"/>
              <w:tab w:val="clear" w:pos="8777"/>
            </w:tabs>
            <w:rPr>
              <w:highlight w:val="none"/>
            </w:rPr>
          </w:pPr>
        </w:p>
        <w:p w14:paraId="7ACB7D3B">
          <w:pPr>
            <w:rPr>
              <w:highlight w:val="none"/>
            </w:rPr>
          </w:pPr>
          <w:r>
            <w:rPr>
              <w:highlight w:val="none"/>
            </w:rPr>
            <w:fldChar w:fldCharType="end"/>
          </w:r>
        </w:p>
      </w:sdtContent>
    </w:sdt>
    <w:p w14:paraId="77E93507">
      <w:pPr>
        <w:rPr>
          <w:highlight w:val="none"/>
        </w:rPr>
      </w:pPr>
    </w:p>
    <w:p w14:paraId="03A58272">
      <w:pPr>
        <w:rPr>
          <w:rFonts w:hint="eastAsia"/>
          <w:color w:val="auto"/>
          <w:highlight w:val="none"/>
        </w:rPr>
      </w:pPr>
      <w:r>
        <w:rPr>
          <w:rFonts w:hint="eastAsia"/>
          <w:color w:val="auto"/>
          <w:highlight w:val="none"/>
        </w:rPr>
        <w:br w:type="page"/>
      </w:r>
    </w:p>
    <w:p w14:paraId="3B588D75">
      <w:pPr>
        <w:shd w:val="clear"/>
        <w:spacing w:beforeLines="0" w:afterLines="0"/>
        <w:jc w:val="both"/>
        <w:rPr>
          <w:rFonts w:hint="eastAsia"/>
          <w:color w:val="auto"/>
          <w:highlight w:val="none"/>
        </w:rPr>
        <w:sectPr>
          <w:footerReference r:id="rId6" w:type="default"/>
          <w:pgSz w:w="11906" w:h="16838"/>
          <w:pgMar w:top="2098" w:right="1531" w:bottom="1531" w:left="1531" w:header="851" w:footer="992" w:gutter="0"/>
          <w:pgNumType w:fmt="decimal" w:start="1"/>
          <w:cols w:space="425" w:num="1"/>
          <w:docGrid w:type="lines" w:linePitch="312" w:charSpace="0"/>
        </w:sectPr>
      </w:pPr>
    </w:p>
    <w:p w14:paraId="0A7F9563">
      <w:pPr>
        <w:shd w:val="clear"/>
        <w:spacing w:beforeLines="0" w:afterLines="0"/>
        <w:jc w:val="both"/>
        <w:rPr>
          <w:rFonts w:hint="default"/>
          <w:color w:val="auto"/>
          <w:highlight w:val="none"/>
          <w:lang w:eastAsia="zh-CN"/>
        </w:rPr>
      </w:pPr>
      <w:r>
        <w:rPr>
          <w:rFonts w:hint="eastAsia"/>
          <w:color w:val="auto"/>
          <w:highlight w:val="none"/>
        </w:rPr>
        <w:t>济南市</w:t>
      </w:r>
      <w:r>
        <w:rPr>
          <w:rFonts w:hint="eastAsia"/>
          <w:color w:val="auto"/>
          <w:highlight w:val="none"/>
          <w:lang w:val="en-US" w:eastAsia="zh-CN"/>
        </w:rPr>
        <w:t>济阳区</w:t>
      </w:r>
      <w:r>
        <w:rPr>
          <w:rFonts w:hint="eastAsia"/>
          <w:color w:val="auto"/>
          <w:highlight w:val="none"/>
        </w:rPr>
        <w:t>国民经济和社会发展第十</w:t>
      </w:r>
      <w:r>
        <w:rPr>
          <w:rFonts w:hint="eastAsia"/>
          <w:color w:val="auto"/>
          <w:highlight w:val="none"/>
          <w:lang w:val="en-US" w:eastAsia="zh-CN"/>
        </w:rPr>
        <w:t>五</w:t>
      </w:r>
      <w:r>
        <w:rPr>
          <w:rFonts w:hint="eastAsia"/>
          <w:color w:val="auto"/>
          <w:highlight w:val="none"/>
        </w:rPr>
        <w:t>个五年（</w:t>
      </w:r>
      <w:r>
        <w:rPr>
          <w:rFonts w:hint="eastAsia"/>
          <w:color w:val="auto"/>
          <w:highlight w:val="none"/>
          <w:lang w:val="en-US" w:eastAsia="zh-CN"/>
        </w:rPr>
        <w:t>2026—2030年</w:t>
      </w:r>
      <w:r>
        <w:rPr>
          <w:rFonts w:hint="eastAsia"/>
          <w:color w:val="auto"/>
          <w:highlight w:val="none"/>
        </w:rPr>
        <w:t>）规划纲要，以习近平新时代中国特色社会主义思想为指导，根据《中共济南市</w:t>
      </w:r>
      <w:r>
        <w:rPr>
          <w:rFonts w:hint="eastAsia"/>
          <w:color w:val="auto"/>
          <w:highlight w:val="none"/>
          <w:lang w:val="en-US" w:eastAsia="zh-CN"/>
        </w:rPr>
        <w:t>济阳区</w:t>
      </w:r>
      <w:r>
        <w:rPr>
          <w:rFonts w:hint="eastAsia"/>
          <w:color w:val="auto"/>
          <w:highlight w:val="none"/>
        </w:rPr>
        <w:t>委关于制定济南市</w:t>
      </w:r>
      <w:r>
        <w:rPr>
          <w:rFonts w:hint="eastAsia"/>
          <w:color w:val="auto"/>
          <w:highlight w:val="none"/>
          <w:lang w:val="en-US" w:eastAsia="zh-CN"/>
        </w:rPr>
        <w:t>济阳区</w:t>
      </w:r>
      <w:r>
        <w:rPr>
          <w:rFonts w:hint="eastAsia"/>
          <w:color w:val="auto"/>
          <w:highlight w:val="none"/>
        </w:rPr>
        <w:t>国民经济和社会发展第十</w:t>
      </w:r>
      <w:r>
        <w:rPr>
          <w:rFonts w:hint="eastAsia"/>
          <w:color w:val="auto"/>
          <w:highlight w:val="none"/>
          <w:lang w:val="en-US" w:eastAsia="zh-CN"/>
        </w:rPr>
        <w:t>五</w:t>
      </w:r>
      <w:r>
        <w:rPr>
          <w:rFonts w:hint="eastAsia"/>
          <w:color w:val="auto"/>
          <w:highlight w:val="none"/>
        </w:rPr>
        <w:t>个五年规划的建议》编制，主要阐明</w:t>
      </w:r>
      <w:r>
        <w:rPr>
          <w:rFonts w:hint="eastAsia"/>
          <w:color w:val="auto"/>
          <w:highlight w:val="none"/>
          <w:lang w:val="en-US" w:eastAsia="zh-CN"/>
        </w:rPr>
        <w:t>区</w:t>
      </w:r>
      <w:r>
        <w:rPr>
          <w:rFonts w:hint="eastAsia"/>
          <w:color w:val="auto"/>
          <w:highlight w:val="none"/>
        </w:rPr>
        <w:t>委、</w:t>
      </w:r>
      <w:r>
        <w:rPr>
          <w:rFonts w:hint="eastAsia"/>
          <w:color w:val="auto"/>
          <w:highlight w:val="none"/>
          <w:lang w:val="en-US" w:eastAsia="zh-CN"/>
        </w:rPr>
        <w:t>区</w:t>
      </w:r>
      <w:r>
        <w:rPr>
          <w:rFonts w:hint="eastAsia"/>
          <w:color w:val="auto"/>
          <w:highlight w:val="none"/>
        </w:rPr>
        <w:t>政府战略意图，明确今后五年经济社会发展主要目标任务，是政府履行职责的重要依据，是全</w:t>
      </w:r>
      <w:r>
        <w:rPr>
          <w:rFonts w:hint="eastAsia"/>
          <w:color w:val="auto"/>
          <w:highlight w:val="none"/>
          <w:lang w:val="en-US" w:eastAsia="zh-CN"/>
        </w:rPr>
        <w:t>区</w:t>
      </w:r>
      <w:r>
        <w:rPr>
          <w:rFonts w:hint="eastAsia"/>
          <w:color w:val="auto"/>
          <w:highlight w:val="none"/>
        </w:rPr>
        <w:t>人民共同的行动纲领，是全</w:t>
      </w:r>
      <w:r>
        <w:rPr>
          <w:rFonts w:hint="eastAsia"/>
          <w:color w:val="auto"/>
          <w:highlight w:val="none"/>
          <w:lang w:val="en-US" w:eastAsia="zh-CN"/>
        </w:rPr>
        <w:t>区</w:t>
      </w:r>
      <w:r>
        <w:rPr>
          <w:rFonts w:hint="eastAsia"/>
          <w:color w:val="auto"/>
          <w:highlight w:val="none"/>
        </w:rPr>
        <w:t>其他各级各类规划的总遵循</w:t>
      </w:r>
      <w:r>
        <w:rPr>
          <w:rFonts w:hint="eastAsia"/>
          <w:color w:val="auto"/>
          <w:highlight w:val="none"/>
          <w:lang w:eastAsia="zh-CN"/>
        </w:rPr>
        <w:t>。</w:t>
      </w:r>
    </w:p>
    <w:p w14:paraId="02E83118">
      <w:pPr>
        <w:keepNext w:val="0"/>
        <w:keepLines w:val="0"/>
        <w:pageBreakBefore w:val="0"/>
        <w:widowControl w:val="0"/>
        <w:suppressLineNumbers w:val="0"/>
        <w:shd w:val="clear"/>
        <w:kinsoku/>
        <w:wordWrap/>
        <w:overflowPunct w:val="0"/>
        <w:topLinePunct w:val="0"/>
        <w:autoSpaceDE/>
        <w:autoSpaceDN/>
        <w:bidi w:val="0"/>
        <w:adjustRightInd/>
        <w:snapToGrid/>
        <w:spacing w:before="157" w:beforeLines="50" w:after="157" w:afterLines="50" w:afterAutospacing="0" w:line="600" w:lineRule="exact"/>
        <w:ind w:firstLine="0" w:firstLineChars="0"/>
        <w:jc w:val="center"/>
        <w:textAlignment w:val="auto"/>
        <w:outlineLvl w:val="0"/>
        <w:rPr>
          <w:rFonts w:hint="eastAsia" w:ascii="方正小标宋简体" w:hAnsi="方正小标宋简体" w:eastAsia="方正小标宋简体" w:cs="方正小标宋简体"/>
          <w:b w:val="0"/>
          <w:bCs w:val="0"/>
          <w:color w:val="auto"/>
          <w:spacing w:val="0"/>
          <w:kern w:val="0"/>
          <w:sz w:val="32"/>
          <w:szCs w:val="32"/>
          <w:highlight w:val="none"/>
          <w:lang w:val="en-US" w:eastAsia="zh-CN" w:bidi="ar"/>
        </w:rPr>
      </w:pPr>
      <w:bookmarkStart w:id="8" w:name="_Toc13724"/>
      <w:bookmarkStart w:id="9" w:name="_Toc26544"/>
      <w:r>
        <w:rPr>
          <w:rFonts w:hint="eastAsia" w:ascii="方正小标宋简体" w:hAnsi="方正小标宋简体" w:eastAsia="方正小标宋简体" w:cs="方正小标宋简体"/>
          <w:b w:val="0"/>
          <w:bCs w:val="0"/>
          <w:color w:val="auto"/>
          <w:spacing w:val="0"/>
          <w:kern w:val="0"/>
          <w:sz w:val="32"/>
          <w:szCs w:val="32"/>
          <w:highlight w:val="none"/>
          <w:lang w:val="en-US" w:eastAsia="zh-CN" w:bidi="ar"/>
        </w:rPr>
        <w:t xml:space="preserve">第一章  </w:t>
      </w:r>
      <w:r>
        <w:rPr>
          <w:rFonts w:hint="eastAsia" w:ascii="方正小标宋简体" w:hAnsi="方正小标宋简体" w:eastAsia="方正小标宋简体" w:cs="方正小标宋简体"/>
          <w:color w:val="auto"/>
          <w:szCs w:val="32"/>
          <w:highlight w:val="none"/>
          <w:lang w:bidi="ar"/>
        </w:rPr>
        <w:t>开启全面建设</w:t>
      </w:r>
      <w:r>
        <w:rPr>
          <w:rFonts w:hint="eastAsia" w:ascii="方正小标宋简体" w:hAnsi="方正小标宋简体" w:eastAsia="方正小标宋简体" w:cs="方正小标宋简体"/>
          <w:color w:val="auto"/>
          <w:szCs w:val="32"/>
          <w:highlight w:val="none"/>
          <w:lang w:val="en-US" w:eastAsia="zh-CN" w:bidi="ar"/>
        </w:rPr>
        <w:t>社会主义</w:t>
      </w:r>
      <w:r>
        <w:rPr>
          <w:rFonts w:hint="eastAsia" w:ascii="方正小标宋简体" w:hAnsi="方正小标宋简体" w:eastAsia="方正小标宋简体" w:cs="方正小标宋简体"/>
          <w:color w:val="auto"/>
          <w:szCs w:val="32"/>
          <w:highlight w:val="none"/>
          <w:lang w:bidi="ar"/>
        </w:rPr>
        <w:t>现代化新征程，擘画高质量北部中心城区新蓝图</w:t>
      </w:r>
      <w:bookmarkEnd w:id="8"/>
      <w:bookmarkEnd w:id="9"/>
    </w:p>
    <w:p w14:paraId="3BC59338">
      <w:pPr>
        <w:keepNext w:val="0"/>
        <w:keepLines w:val="0"/>
        <w:pageBreakBefore w:val="0"/>
        <w:shd w:val="clear"/>
        <w:kinsoku/>
        <w:wordWrap/>
        <w:topLinePunct w:val="0"/>
        <w:autoSpaceDE/>
        <w:autoSpaceDN/>
        <w:bidi w:val="0"/>
        <w:spacing w:beforeLines="0" w:afterLines="0"/>
        <w:jc w:val="both"/>
        <w:textAlignment w:val="auto"/>
        <w:rPr>
          <w:rFonts w:hint="eastAsia"/>
          <w:color w:val="auto"/>
          <w:highlight w:val="none"/>
          <w:lang w:val="en-US" w:eastAsia="zh-CN"/>
        </w:rPr>
      </w:pPr>
      <w:r>
        <w:rPr>
          <w:rFonts w:hint="eastAsia"/>
          <w:color w:val="auto"/>
          <w:highlight w:val="none"/>
          <w:lang w:val="en-US" w:eastAsia="zh-CN"/>
        </w:rPr>
        <w:t>“十五五”时期是基本实现社会主义现代化夯实基础、全面发力的关键时期，是济南市在奋力谱写中国式现代化山东篇章中勇当排头兵的关键时期，</w:t>
      </w:r>
      <w:r>
        <w:rPr>
          <w:rFonts w:hint="default" w:ascii="仿宋_GB2312" w:hAnsi="仿宋_GB2312" w:eastAsia="仿宋_GB2312" w:cs="仿宋_GB2312"/>
          <w:b w:val="0"/>
          <w:bCs w:val="0"/>
          <w:color w:val="auto"/>
          <w:szCs w:val="32"/>
          <w:highlight w:val="none"/>
          <w:lang w:eastAsia="zh-CN"/>
        </w:rPr>
        <w:t>也是</w:t>
      </w:r>
      <w:r>
        <w:rPr>
          <w:rFonts w:hint="eastAsia" w:cs="仿宋_GB2312"/>
          <w:b w:val="0"/>
          <w:bCs w:val="0"/>
          <w:color w:val="auto"/>
          <w:szCs w:val="32"/>
          <w:highlight w:val="none"/>
          <w:lang w:val="en-US" w:eastAsia="zh-CN"/>
        </w:rPr>
        <w:t>济阳区加快</w:t>
      </w:r>
      <w:r>
        <w:rPr>
          <w:rFonts w:hint="default" w:ascii="仿宋_GB2312" w:hAnsi="仿宋_GB2312" w:eastAsia="仿宋_GB2312" w:cs="仿宋_GB2312"/>
          <w:b w:val="0"/>
          <w:bCs w:val="0"/>
          <w:color w:val="auto"/>
          <w:szCs w:val="32"/>
          <w:highlight w:val="none"/>
          <w:lang w:eastAsia="zh-CN"/>
        </w:rPr>
        <w:t>打造</w:t>
      </w:r>
      <w:r>
        <w:rPr>
          <w:rFonts w:hint="eastAsia" w:ascii="仿宋_GB2312" w:hAnsi="仿宋_GB2312" w:eastAsia="仿宋_GB2312" w:cs="仿宋_GB2312"/>
          <w:b w:val="0"/>
          <w:bCs w:val="0"/>
          <w:color w:val="auto"/>
          <w:spacing w:val="-6"/>
          <w:sz w:val="32"/>
          <w:szCs w:val="32"/>
          <w:highlight w:val="none"/>
        </w:rPr>
        <w:t>高质量北部中心城区</w:t>
      </w:r>
      <w:r>
        <w:rPr>
          <w:rFonts w:hint="default" w:ascii="仿宋_GB2312" w:hAnsi="仿宋_GB2312" w:eastAsia="仿宋_GB2312" w:cs="仿宋_GB2312"/>
          <w:b w:val="0"/>
          <w:bCs w:val="0"/>
          <w:color w:val="auto"/>
          <w:szCs w:val="32"/>
          <w:highlight w:val="none"/>
          <w:lang w:eastAsia="zh-CN"/>
        </w:rPr>
        <w:t>的关键时期</w:t>
      </w:r>
      <w:r>
        <w:rPr>
          <w:rFonts w:hint="eastAsia"/>
          <w:color w:val="auto"/>
          <w:highlight w:val="none"/>
          <w:lang w:val="en-US" w:eastAsia="zh-CN"/>
        </w:rPr>
        <w:t>。必须深刻认识和准确把握“十五五”时期我区在现代化进程中的历史方位，持续攻坚、接续奋斗，不断开创高质量北部中心城区新局面。</w:t>
      </w:r>
    </w:p>
    <w:p w14:paraId="56FDA7A1">
      <w:pPr>
        <w:keepNext w:val="0"/>
        <w:keepLines w:val="0"/>
        <w:pageBreakBefore w:val="0"/>
        <w:widowControl w:val="0"/>
        <w:shd w:val="clear"/>
        <w:kinsoku/>
        <w:wordWrap/>
        <w:topLinePunct w:val="0"/>
        <w:autoSpaceDE/>
        <w:autoSpaceDN/>
        <w:bidi w:val="0"/>
        <w:spacing w:beforeLines="0" w:afterLines="0"/>
        <w:ind w:firstLineChars="200"/>
        <w:jc w:val="both"/>
        <w:textAlignment w:val="auto"/>
        <w:outlineLvl w:val="1"/>
        <w:rPr>
          <w:rFonts w:hint="eastAsia" w:ascii="黑体" w:hAnsi="黑体" w:eastAsia="黑体" w:cs="黑体"/>
          <w:color w:val="auto"/>
          <w:highlight w:val="none"/>
          <w:lang w:val="en-US" w:eastAsia="zh-CN"/>
        </w:rPr>
      </w:pPr>
      <w:bookmarkStart w:id="10" w:name="_Toc29663"/>
      <w:bookmarkStart w:id="11" w:name="_Toc6620"/>
      <w:r>
        <w:rPr>
          <w:rFonts w:hint="eastAsia" w:ascii="黑体" w:hAnsi="黑体" w:eastAsia="黑体" w:cs="黑体"/>
          <w:color w:val="auto"/>
          <w:highlight w:val="none"/>
          <w:lang w:val="en-US" w:eastAsia="zh-CN"/>
        </w:rPr>
        <w:t>一、发展基础</w:t>
      </w:r>
      <w:bookmarkEnd w:id="10"/>
      <w:bookmarkEnd w:id="11"/>
    </w:p>
    <w:p w14:paraId="42AB1DF8">
      <w:pPr>
        <w:keepNext w:val="0"/>
        <w:keepLines w:val="0"/>
        <w:pageBreakBefore w:val="0"/>
        <w:shd w:val="clear"/>
        <w:kinsoku/>
        <w:wordWrap/>
        <w:topLinePunct w:val="0"/>
        <w:autoSpaceDE/>
        <w:autoSpaceDN/>
        <w:bidi w:val="0"/>
        <w:spacing w:beforeLines="0" w:afterLines="0"/>
        <w:jc w:val="both"/>
        <w:textAlignment w:val="auto"/>
        <w:rPr>
          <w:rFonts w:hint="eastAsia" w:ascii="仿宋_GB2312" w:hAnsi="仿宋_GB2312" w:eastAsia="仿宋_GB2312" w:cs="仿宋_GB2312"/>
          <w:b w:val="0"/>
          <w:bCs w:val="0"/>
          <w:color w:val="auto"/>
          <w:szCs w:val="32"/>
          <w:highlight w:val="none"/>
          <w:lang w:eastAsia="zh-CN"/>
        </w:rPr>
      </w:pPr>
      <w:r>
        <w:rPr>
          <w:rFonts w:hint="eastAsia" w:ascii="仿宋_GB2312" w:hAnsi="仿宋_GB2312" w:eastAsia="仿宋_GB2312" w:cs="仿宋_GB2312"/>
          <w:b w:val="0"/>
          <w:bCs w:val="0"/>
          <w:color w:val="auto"/>
          <w:szCs w:val="32"/>
          <w:highlight w:val="none"/>
          <w:lang w:eastAsia="zh-CN"/>
        </w:rPr>
        <w:t>“十四五”时期</w:t>
      </w:r>
      <w:r>
        <w:rPr>
          <w:rFonts w:hint="eastAsia" w:ascii="仿宋_GB2312" w:hAnsi="仿宋_GB2312" w:eastAsia="仿宋_GB2312" w:cs="仿宋_GB2312"/>
          <w:b w:val="0"/>
          <w:bCs w:val="0"/>
          <w:color w:val="auto"/>
          <w:szCs w:val="32"/>
          <w:highlight w:val="none"/>
          <w:lang w:val="en-US" w:eastAsia="zh-CN"/>
        </w:rPr>
        <w:t>是发展</w:t>
      </w:r>
      <w:r>
        <w:rPr>
          <w:rFonts w:hint="eastAsia" w:ascii="仿宋_GB2312" w:hAnsi="仿宋_GB2312" w:eastAsia="仿宋_GB2312" w:cs="仿宋_GB2312"/>
          <w:b w:val="0"/>
          <w:bCs w:val="0"/>
          <w:color w:val="auto"/>
          <w:szCs w:val="32"/>
          <w:highlight w:val="none"/>
          <w:lang w:eastAsia="zh-CN"/>
        </w:rPr>
        <w:t>历史上极不寻常、极不平凡的五年。面对复杂多变的外部环境和艰巨繁重的改革发展稳定任务，</w:t>
      </w:r>
      <w:r>
        <w:rPr>
          <w:rFonts w:hint="eastAsia" w:ascii="仿宋_GB2312" w:hAnsi="仿宋_GB2312" w:eastAsia="仿宋_GB2312" w:cs="仿宋_GB2312"/>
          <w:b w:val="0"/>
          <w:bCs w:val="0"/>
          <w:color w:val="auto"/>
          <w:szCs w:val="32"/>
          <w:highlight w:val="none"/>
          <w:lang w:val="en-US" w:eastAsia="zh-CN"/>
        </w:rPr>
        <w:t>全区上下坚持以习近平新时代中国特色社会主义思想为指导，坚决贯彻落实党中央、国务院决策部署和省委、省政府工作要求以及市委、市政府工作安排，</w:t>
      </w:r>
      <w:r>
        <w:rPr>
          <w:rFonts w:hint="eastAsia" w:ascii="仿宋_GB2312" w:hAnsi="仿宋_GB2312" w:eastAsia="仿宋_GB2312" w:cs="仿宋_GB2312"/>
          <w:b w:val="0"/>
          <w:bCs w:val="0"/>
          <w:color w:val="auto"/>
          <w:szCs w:val="32"/>
          <w:highlight w:val="none"/>
          <w:lang w:eastAsia="zh-CN"/>
        </w:rPr>
        <w:t>锚定“12345”发展思路，在承压负重中勇毅前行、在砥砺奋进中攻坚突破，经济发展量质齐升，社会大局和谐稳定，民生福祉持续向好，为经济社会高质量发展奠定坚实根基。全区综合经济实力不断攀升，地区生产总值由2020年的205.5亿元，增长至202</w:t>
      </w:r>
      <w:r>
        <w:rPr>
          <w:rFonts w:hint="eastAsia" w:cs="仿宋_GB2312"/>
          <w:b w:val="0"/>
          <w:bCs w:val="0"/>
          <w:color w:val="auto"/>
          <w:szCs w:val="32"/>
          <w:highlight w:val="none"/>
          <w:lang w:val="en-US" w:eastAsia="zh-CN"/>
        </w:rPr>
        <w:t>5</w:t>
      </w:r>
      <w:r>
        <w:rPr>
          <w:rFonts w:hint="eastAsia" w:ascii="仿宋_GB2312" w:hAnsi="仿宋_GB2312" w:eastAsia="仿宋_GB2312" w:cs="仿宋_GB2312"/>
          <w:b w:val="0"/>
          <w:bCs w:val="0"/>
          <w:color w:val="auto"/>
          <w:szCs w:val="32"/>
          <w:highlight w:val="none"/>
          <w:lang w:eastAsia="zh-CN"/>
        </w:rPr>
        <w:t>年的3</w:t>
      </w:r>
      <w:r>
        <w:rPr>
          <w:rFonts w:hint="eastAsia" w:cs="仿宋_GB2312"/>
          <w:b w:val="0"/>
          <w:bCs w:val="0"/>
          <w:color w:val="auto"/>
          <w:szCs w:val="32"/>
          <w:highlight w:val="none"/>
          <w:lang w:val="en-US" w:eastAsia="zh-CN"/>
        </w:rPr>
        <w:t>68.5</w:t>
      </w:r>
      <w:r>
        <w:rPr>
          <w:rFonts w:hint="eastAsia" w:ascii="仿宋_GB2312" w:hAnsi="仿宋_GB2312" w:eastAsia="仿宋_GB2312" w:cs="仿宋_GB2312"/>
          <w:b w:val="0"/>
          <w:bCs w:val="0"/>
          <w:color w:val="auto"/>
          <w:szCs w:val="32"/>
          <w:highlight w:val="none"/>
          <w:lang w:eastAsia="zh-CN"/>
        </w:rPr>
        <w:t>亿元，年均增速稳居全市第一方阵</w:t>
      </w:r>
      <w:r>
        <w:rPr>
          <w:rFonts w:hint="eastAsia" w:cs="仿宋_GB2312"/>
          <w:b w:val="0"/>
          <w:bCs w:val="0"/>
          <w:color w:val="auto"/>
          <w:szCs w:val="32"/>
          <w:highlight w:val="none"/>
          <w:lang w:eastAsia="zh-CN"/>
        </w:rPr>
        <w:t>；</w:t>
      </w:r>
      <w:r>
        <w:rPr>
          <w:rFonts w:hint="eastAsia" w:ascii="仿宋_GB2312" w:hAnsi="仿宋_GB2312" w:eastAsia="仿宋_GB2312" w:cs="仿宋_GB2312"/>
          <w:b w:val="0"/>
          <w:bCs w:val="0"/>
          <w:color w:val="auto"/>
          <w:szCs w:val="32"/>
          <w:highlight w:val="none"/>
          <w:lang w:eastAsia="zh-CN"/>
        </w:rPr>
        <w:t>一般公共预算收入由2020年的27.7亿元，增长至202</w:t>
      </w:r>
      <w:r>
        <w:rPr>
          <w:rFonts w:hint="eastAsia" w:cs="仿宋_GB2312"/>
          <w:b w:val="0"/>
          <w:bCs w:val="0"/>
          <w:color w:val="auto"/>
          <w:szCs w:val="32"/>
          <w:highlight w:val="none"/>
          <w:lang w:val="en-US" w:eastAsia="zh-CN"/>
        </w:rPr>
        <w:t>5</w:t>
      </w:r>
      <w:r>
        <w:rPr>
          <w:rFonts w:hint="eastAsia" w:ascii="仿宋_GB2312" w:hAnsi="仿宋_GB2312" w:eastAsia="仿宋_GB2312" w:cs="仿宋_GB2312"/>
          <w:b w:val="0"/>
          <w:bCs w:val="0"/>
          <w:color w:val="auto"/>
          <w:szCs w:val="32"/>
          <w:highlight w:val="none"/>
          <w:lang w:eastAsia="zh-CN"/>
        </w:rPr>
        <w:t>年的3</w:t>
      </w:r>
      <w:r>
        <w:rPr>
          <w:rFonts w:hint="eastAsia" w:cs="仿宋_GB2312"/>
          <w:b w:val="0"/>
          <w:bCs w:val="0"/>
          <w:color w:val="auto"/>
          <w:szCs w:val="32"/>
          <w:highlight w:val="none"/>
          <w:lang w:val="en-US" w:eastAsia="zh-CN"/>
        </w:rPr>
        <w:t>4</w:t>
      </w:r>
      <w:r>
        <w:rPr>
          <w:rFonts w:hint="eastAsia" w:ascii="仿宋_GB2312" w:hAnsi="仿宋_GB2312" w:eastAsia="仿宋_GB2312" w:cs="仿宋_GB2312"/>
          <w:b w:val="0"/>
          <w:bCs w:val="0"/>
          <w:color w:val="auto"/>
          <w:szCs w:val="32"/>
          <w:highlight w:val="none"/>
          <w:lang w:eastAsia="zh-CN"/>
        </w:rPr>
        <w:t>.4亿元，年均增幅达</w:t>
      </w:r>
      <w:r>
        <w:rPr>
          <w:rFonts w:hint="eastAsia" w:cs="仿宋_GB2312"/>
          <w:b w:val="0"/>
          <w:bCs w:val="0"/>
          <w:color w:val="auto"/>
          <w:szCs w:val="32"/>
          <w:highlight w:val="none"/>
          <w:lang w:val="en-US" w:eastAsia="zh-CN"/>
        </w:rPr>
        <w:t>5.6</w:t>
      </w:r>
      <w:r>
        <w:rPr>
          <w:rFonts w:hint="eastAsia" w:ascii="仿宋_GB2312" w:hAnsi="仿宋_GB2312" w:eastAsia="仿宋_GB2312" w:cs="仿宋_GB2312"/>
          <w:b w:val="0"/>
          <w:bCs w:val="0"/>
          <w:color w:val="auto"/>
          <w:szCs w:val="32"/>
          <w:highlight w:val="none"/>
          <w:lang w:eastAsia="zh-CN"/>
        </w:rPr>
        <w:t>%</w:t>
      </w:r>
      <w:r>
        <w:rPr>
          <w:rFonts w:hint="eastAsia" w:cs="仿宋_GB2312"/>
          <w:b w:val="0"/>
          <w:bCs w:val="0"/>
          <w:color w:val="auto"/>
          <w:szCs w:val="32"/>
          <w:highlight w:val="none"/>
          <w:lang w:eastAsia="zh-CN"/>
        </w:rPr>
        <w:t>；</w:t>
      </w:r>
      <w:r>
        <w:rPr>
          <w:rFonts w:hint="eastAsia" w:ascii="仿宋_GB2312" w:hAnsi="仿宋_GB2312" w:eastAsia="仿宋_GB2312" w:cs="仿宋_GB2312"/>
          <w:b w:val="0"/>
          <w:bCs w:val="0"/>
          <w:color w:val="auto"/>
          <w:szCs w:val="32"/>
          <w:highlight w:val="none"/>
          <w:lang w:eastAsia="zh-CN"/>
        </w:rPr>
        <w:t>海峡两岸产业合作区破题起势，建立市区两级推进合作区建设工作联席会议制度，省市出台支持合作区发展政策措施，设立首期规模2亿元的产业引导基金，高规格举办“海峡两岸产业合作区建设推进会”等“双招双引”活动，台资企业数量增至127家、关联企业数量增至189家，台企投资额超27亿美元</w:t>
      </w:r>
      <w:r>
        <w:rPr>
          <w:rFonts w:hint="eastAsia" w:cs="仿宋_GB2312"/>
          <w:b w:val="0"/>
          <w:bCs w:val="0"/>
          <w:color w:val="auto"/>
          <w:szCs w:val="32"/>
          <w:highlight w:val="none"/>
          <w:lang w:eastAsia="zh-CN"/>
        </w:rPr>
        <w:t>，</w:t>
      </w:r>
      <w:r>
        <w:rPr>
          <w:rFonts w:hint="eastAsia" w:ascii="仿宋_GB2312" w:hAnsi="仿宋_GB2312" w:eastAsia="仿宋_GB2312" w:cs="仿宋_GB2312"/>
          <w:b w:val="0"/>
          <w:bCs w:val="0"/>
          <w:color w:val="auto"/>
          <w:szCs w:val="32"/>
          <w:highlight w:val="none"/>
          <w:lang w:eastAsia="zh-CN"/>
        </w:rPr>
        <w:t>顺利完成2020-</w:t>
      </w:r>
      <w:r>
        <w:rPr>
          <w:rFonts w:hint="eastAsia" w:cs="仿宋_GB2312"/>
          <w:b w:val="0"/>
          <w:bCs w:val="0"/>
          <w:color w:val="auto"/>
          <w:szCs w:val="32"/>
          <w:highlight w:val="none"/>
          <w:lang w:val="en-US" w:eastAsia="zh-CN"/>
        </w:rPr>
        <w:t>2025年</w:t>
      </w:r>
      <w:r>
        <w:rPr>
          <w:rFonts w:hint="eastAsia" w:ascii="仿宋_GB2312" w:hAnsi="仿宋_GB2312" w:eastAsia="仿宋_GB2312" w:cs="仿宋_GB2312"/>
          <w:b w:val="0"/>
          <w:bCs w:val="0"/>
          <w:color w:val="auto"/>
          <w:szCs w:val="32"/>
          <w:highlight w:val="none"/>
          <w:lang w:eastAsia="zh-CN"/>
        </w:rPr>
        <w:t>阶段性目标任务；</w:t>
      </w:r>
      <w:r>
        <w:rPr>
          <w:rFonts w:hint="eastAsia" w:cs="仿宋_GB2312"/>
          <w:b w:val="0"/>
          <w:bCs w:val="0"/>
          <w:color w:val="auto"/>
          <w:szCs w:val="32"/>
          <w:highlight w:val="none"/>
          <w:lang w:val="en-US" w:eastAsia="zh-CN"/>
        </w:rPr>
        <w:t>山东</w:t>
      </w:r>
      <w:r>
        <w:rPr>
          <w:rFonts w:hint="eastAsia" w:ascii="仿宋_GB2312" w:hAnsi="仿宋_GB2312" w:eastAsia="仿宋_GB2312" w:cs="仿宋_GB2312"/>
          <w:b w:val="0"/>
          <w:bCs w:val="0"/>
          <w:color w:val="auto"/>
          <w:szCs w:val="32"/>
          <w:highlight w:val="none"/>
          <w:lang w:eastAsia="zh-CN"/>
        </w:rPr>
        <w:t>济北经济开发区2023年、2024年连续两年荣获全省开发区考核“一等”等次。</w:t>
      </w:r>
      <w:r>
        <w:rPr>
          <w:rFonts w:hint="eastAsia" w:ascii="仿宋_GB2312" w:hAnsi="仿宋_GB2312" w:eastAsia="仿宋_GB2312" w:cs="仿宋_GB2312"/>
          <w:b w:val="0"/>
          <w:bCs w:val="0"/>
          <w:color w:val="auto"/>
          <w:szCs w:val="32"/>
          <w:highlight w:val="none"/>
          <w:lang w:val="en-US" w:eastAsia="zh-CN"/>
        </w:rPr>
        <w:t>全市重点项目调研排名连续四年位次跃升，2025年提升至全市第六名，创历史最好成绩。</w:t>
      </w:r>
    </w:p>
    <w:bookmarkEnd w:id="0"/>
    <w:bookmarkEnd w:id="1"/>
    <w:p w14:paraId="788E157E">
      <w:pPr>
        <w:keepNext w:val="0"/>
        <w:keepLines w:val="0"/>
        <w:pageBreakBefore w:val="0"/>
        <w:widowControl w:val="0"/>
        <w:shd w:val="clear"/>
        <w:kinsoku/>
        <w:wordWrap/>
        <w:overflowPunct w:val="0"/>
        <w:topLinePunct w:val="0"/>
        <w:autoSpaceDE/>
        <w:autoSpaceDN/>
        <w:bidi w:val="0"/>
        <w:adjustRightInd w:val="0"/>
        <w:snapToGrid w:val="0"/>
        <w:spacing w:beforeLines="0" w:afterLines="0" w:line="600" w:lineRule="exact"/>
        <w:ind w:firstLine="640" w:firstLineChars="200"/>
        <w:jc w:val="both"/>
        <w:textAlignment w:val="auto"/>
        <w:outlineLvl w:val="9"/>
        <w:rPr>
          <w:rFonts w:hint="eastAsia" w:ascii="仿宋_GB2312" w:hAnsi="仿宋_GB2312" w:eastAsia="仿宋_GB2312" w:cs="仿宋_GB2312"/>
          <w:b w:val="0"/>
          <w:bCs w:val="0"/>
          <w:color w:val="auto"/>
          <w:szCs w:val="32"/>
          <w:highlight w:val="none"/>
          <w:lang w:val="en-US" w:eastAsia="zh-CN"/>
        </w:rPr>
      </w:pPr>
      <w:r>
        <w:rPr>
          <w:rFonts w:hint="eastAsia" w:ascii="楷体_GB2312" w:hAnsi="楷体_GB2312" w:eastAsia="楷体_GB2312" w:cs="楷体_GB2312"/>
          <w:b w:val="0"/>
          <w:bCs w:val="0"/>
          <w:color w:val="auto"/>
          <w:spacing w:val="0"/>
          <w:kern w:val="0"/>
          <w:sz w:val="32"/>
          <w:szCs w:val="32"/>
          <w:highlight w:val="none"/>
          <w:lang w:val="en-US" w:eastAsia="zh-CN"/>
        </w:rPr>
        <w:t>（一）产业根基更加夯实。</w:t>
      </w:r>
      <w:r>
        <w:rPr>
          <w:rFonts w:hint="eastAsia" w:ascii="仿宋_GB2312" w:hAnsi="仿宋_GB2312" w:eastAsia="仿宋_GB2312" w:cs="仿宋_GB2312"/>
          <w:b w:val="0"/>
          <w:bCs w:val="0"/>
          <w:color w:val="auto"/>
          <w:szCs w:val="32"/>
          <w:highlight w:val="none"/>
          <w:lang w:val="en-US" w:eastAsia="zh-CN"/>
        </w:rPr>
        <w:t>一产巩固特色优势，依托68.1万亩耕地资源优势，统筹抓好农林牧渔业发展，“十四五”期间一产增加值增速连年领跑全市。9.2万亩高标准农田新建改造完成，27万余亩粮食生产实现托管服务。曲堤黄瓜、垛石番茄、仁风富硒西瓜等强村富民产业蓬勃发展</w:t>
      </w:r>
      <w:r>
        <w:rPr>
          <w:rFonts w:hint="eastAsia" w:cs="仿宋_GB2312"/>
          <w:b w:val="0"/>
          <w:bCs w:val="0"/>
          <w:color w:val="auto"/>
          <w:szCs w:val="32"/>
          <w:highlight w:val="none"/>
          <w:lang w:val="en-US" w:eastAsia="zh-CN"/>
        </w:rPr>
        <w:t>，</w:t>
      </w:r>
      <w:r>
        <w:rPr>
          <w:rFonts w:hint="eastAsia" w:ascii="仿宋_GB2312" w:hAnsi="仿宋_GB2312" w:eastAsia="仿宋_GB2312" w:cs="仿宋_GB2312"/>
          <w:b w:val="0"/>
          <w:bCs w:val="0"/>
          <w:color w:val="auto"/>
          <w:szCs w:val="32"/>
          <w:highlight w:val="none"/>
          <w:lang w:val="en-US" w:eastAsia="zh-CN"/>
        </w:rPr>
        <w:t>全区设施农业产值超过40亿元，“一镇一品”经验做法在全省推广学习。16家市级以上农业龙头企业、43家规上农产品加工企业抱团发展，年营业收入超120亿元，济阳区获评全省农产品加工业高质量发展先行县。二产</w:t>
      </w:r>
      <w:r>
        <w:rPr>
          <w:rFonts w:hint="eastAsia" w:cs="仿宋_GB2312"/>
          <w:b w:val="0"/>
          <w:bCs w:val="0"/>
          <w:color w:val="auto"/>
          <w:szCs w:val="32"/>
          <w:highlight w:val="none"/>
          <w:lang w:val="en-US" w:eastAsia="zh-CN"/>
        </w:rPr>
        <w:t>不断</w:t>
      </w:r>
      <w:r>
        <w:rPr>
          <w:rFonts w:hint="eastAsia" w:ascii="仿宋_GB2312" w:hAnsi="仿宋_GB2312" w:eastAsia="仿宋_GB2312" w:cs="仿宋_GB2312"/>
          <w:b w:val="0"/>
          <w:bCs w:val="0"/>
          <w:color w:val="auto"/>
          <w:szCs w:val="32"/>
          <w:highlight w:val="none"/>
          <w:lang w:val="en-US" w:eastAsia="zh-CN"/>
        </w:rPr>
        <w:t>提质</w:t>
      </w:r>
      <w:r>
        <w:rPr>
          <w:rFonts w:hint="eastAsia" w:cs="仿宋_GB2312"/>
          <w:b w:val="0"/>
          <w:bCs w:val="0"/>
          <w:color w:val="auto"/>
          <w:szCs w:val="32"/>
          <w:highlight w:val="none"/>
          <w:lang w:val="en-US" w:eastAsia="zh-CN"/>
        </w:rPr>
        <w:t>增</w:t>
      </w:r>
      <w:r>
        <w:rPr>
          <w:rFonts w:hint="eastAsia" w:ascii="仿宋_GB2312" w:hAnsi="仿宋_GB2312" w:eastAsia="仿宋_GB2312" w:cs="仿宋_GB2312"/>
          <w:b w:val="0"/>
          <w:bCs w:val="0"/>
          <w:color w:val="auto"/>
          <w:szCs w:val="32"/>
          <w:highlight w:val="none"/>
          <w:lang w:val="en-US" w:eastAsia="zh-CN"/>
        </w:rPr>
        <w:t>效，依托</w:t>
      </w:r>
      <w:r>
        <w:rPr>
          <w:rFonts w:hint="eastAsia" w:cs="仿宋_GB2312"/>
          <w:b w:val="0"/>
          <w:bCs w:val="0"/>
          <w:color w:val="auto"/>
          <w:szCs w:val="32"/>
          <w:highlight w:val="none"/>
          <w:lang w:val="en-US" w:eastAsia="zh-CN"/>
        </w:rPr>
        <w:t>山东</w:t>
      </w:r>
      <w:r>
        <w:rPr>
          <w:rFonts w:hint="eastAsia" w:ascii="仿宋_GB2312" w:hAnsi="仿宋_GB2312" w:eastAsia="仿宋_GB2312" w:cs="仿宋_GB2312"/>
          <w:b w:val="0"/>
          <w:bCs w:val="0"/>
          <w:color w:val="auto"/>
          <w:szCs w:val="32"/>
          <w:highlight w:val="none"/>
          <w:lang w:eastAsia="zh-CN"/>
        </w:rPr>
        <w:t>济北经济开发区</w:t>
      </w:r>
      <w:r>
        <w:rPr>
          <w:rFonts w:hint="eastAsia" w:ascii="仿宋_GB2312" w:hAnsi="仿宋_GB2312" w:eastAsia="仿宋_GB2312" w:cs="仿宋_GB2312"/>
          <w:b w:val="0"/>
          <w:bCs w:val="0"/>
          <w:color w:val="auto"/>
          <w:szCs w:val="32"/>
          <w:highlight w:val="none"/>
          <w:lang w:val="en-US" w:eastAsia="zh-CN"/>
        </w:rPr>
        <w:t>、海峡两岸产业合作区、</w:t>
      </w:r>
      <w:r>
        <w:rPr>
          <w:rFonts w:hint="eastAsia" w:cs="仿宋_GB2312"/>
          <w:b w:val="0"/>
          <w:bCs w:val="0"/>
          <w:color w:val="auto"/>
          <w:szCs w:val="32"/>
          <w:highlight w:val="none"/>
          <w:lang w:val="en-US" w:eastAsia="zh-CN"/>
        </w:rPr>
        <w:t>济南新旧动能转换起步区</w:t>
      </w:r>
      <w:r>
        <w:rPr>
          <w:rFonts w:hint="eastAsia" w:ascii="仿宋_GB2312" w:hAnsi="仿宋_GB2312" w:eastAsia="仿宋_GB2312" w:cs="仿宋_GB2312"/>
          <w:b w:val="0"/>
          <w:bCs w:val="0"/>
          <w:color w:val="auto"/>
          <w:szCs w:val="32"/>
          <w:highlight w:val="none"/>
          <w:lang w:val="en-US" w:eastAsia="zh-CN"/>
        </w:rPr>
        <w:t>紧密协作区三大产业载体，精心塑强“3</w:t>
      </w:r>
      <w:r>
        <w:rPr>
          <w:rFonts w:hint="eastAsia" w:cs="仿宋_GB2312"/>
          <w:b w:val="0"/>
          <w:bCs w:val="0"/>
          <w:color w:val="auto"/>
          <w:szCs w:val="32"/>
          <w:highlight w:val="none"/>
          <w:lang w:val="en-US" w:eastAsia="zh-CN"/>
        </w:rPr>
        <w:t>＋</w:t>
      </w:r>
      <w:r>
        <w:rPr>
          <w:rFonts w:hint="eastAsia" w:ascii="仿宋_GB2312" w:hAnsi="仿宋_GB2312" w:eastAsia="仿宋_GB2312" w:cs="仿宋_GB2312"/>
          <w:b w:val="0"/>
          <w:bCs w:val="0"/>
          <w:color w:val="auto"/>
          <w:szCs w:val="32"/>
          <w:highlight w:val="none"/>
          <w:lang w:val="en-US" w:eastAsia="zh-CN"/>
        </w:rPr>
        <w:t>2”特色产业矩阵，</w:t>
      </w:r>
      <w:r>
        <w:rPr>
          <w:rFonts w:hint="eastAsia" w:ascii="仿宋_GB2312" w:hAnsi="仿宋_GB2312" w:eastAsia="仿宋_GB2312" w:cstheme="minorBidi"/>
          <w:color w:val="auto"/>
          <w:kern w:val="0"/>
          <w:sz w:val="32"/>
          <w:szCs w:val="32"/>
          <w:highlight w:val="none"/>
          <w:lang w:val="en-US" w:eastAsia="zh-CN"/>
        </w:rPr>
        <w:t>食品饮料产业集群规模突破百亿元</w:t>
      </w:r>
      <w:r>
        <w:rPr>
          <w:rFonts w:hint="eastAsia" w:cstheme="minorBidi"/>
          <w:color w:val="auto"/>
          <w:kern w:val="0"/>
          <w:sz w:val="32"/>
          <w:szCs w:val="32"/>
          <w:highlight w:val="none"/>
          <w:lang w:val="en-US" w:eastAsia="zh-CN"/>
        </w:rPr>
        <w:t>，</w:t>
      </w:r>
      <w:r>
        <w:rPr>
          <w:rFonts w:hint="eastAsia" w:ascii="仿宋_GB2312" w:hAnsi="仿宋_GB2312" w:eastAsia="仿宋_GB2312" w:cs="仿宋_GB2312"/>
          <w:b w:val="0"/>
          <w:bCs w:val="0"/>
          <w:color w:val="auto"/>
          <w:szCs w:val="32"/>
          <w:highlight w:val="none"/>
          <w:lang w:val="en-US" w:eastAsia="zh-CN"/>
        </w:rPr>
        <w:t>工业发展质效实现跨越性提升。加速融入</w:t>
      </w:r>
      <w:r>
        <w:rPr>
          <w:rFonts w:hint="eastAsia" w:cs="仿宋_GB2312"/>
          <w:b w:val="0"/>
          <w:bCs w:val="0"/>
          <w:color w:val="auto"/>
          <w:szCs w:val="32"/>
          <w:highlight w:val="none"/>
          <w:lang w:val="en-US" w:eastAsia="zh-CN"/>
        </w:rPr>
        <w:t>济南新旧动能转换起步区</w:t>
      </w:r>
      <w:r>
        <w:rPr>
          <w:rFonts w:hint="eastAsia" w:ascii="仿宋_GB2312" w:hAnsi="仿宋_GB2312" w:eastAsia="仿宋_GB2312" w:cs="仿宋_GB2312"/>
          <w:b w:val="0"/>
          <w:bCs w:val="0"/>
          <w:color w:val="auto"/>
          <w:szCs w:val="32"/>
          <w:highlight w:val="none"/>
          <w:lang w:val="en-US" w:eastAsia="zh-CN"/>
        </w:rPr>
        <w:t>发展大格局，围绕比亚迪等链主企业，先后招引东风李尔等新能源汽车配套企业32家，比亚迪</w:t>
      </w:r>
      <w:r>
        <w:rPr>
          <w:rFonts w:hint="eastAsia" w:cs="仿宋_GB2312"/>
          <w:b w:val="0"/>
          <w:bCs w:val="0"/>
          <w:color w:val="auto"/>
          <w:szCs w:val="32"/>
          <w:highlight w:val="none"/>
          <w:lang w:val="en-US" w:eastAsia="zh-CN"/>
        </w:rPr>
        <w:t>汽车</w:t>
      </w:r>
      <w:r>
        <w:rPr>
          <w:rFonts w:hint="eastAsia" w:ascii="仿宋_GB2312" w:hAnsi="仿宋_GB2312" w:eastAsia="仿宋_GB2312" w:cs="仿宋_GB2312"/>
          <w:b w:val="0"/>
          <w:bCs w:val="0"/>
          <w:color w:val="auto"/>
          <w:szCs w:val="32"/>
          <w:highlight w:val="none"/>
          <w:lang w:val="en-US" w:eastAsia="zh-CN"/>
        </w:rPr>
        <w:t>零部件生产项目选址紧密协作区，“起步区建链、济阳区延链”产业融合路径更加坚实。全区规上工业企业由2020年的97家，增长至2025年</w:t>
      </w:r>
      <w:r>
        <w:rPr>
          <w:rFonts w:hint="eastAsia" w:cs="仿宋_GB2312"/>
          <w:b w:val="0"/>
          <w:bCs w:val="0"/>
          <w:color w:val="auto"/>
          <w:szCs w:val="32"/>
          <w:highlight w:val="none"/>
          <w:lang w:val="en-US" w:eastAsia="zh-CN"/>
        </w:rPr>
        <w:t>的</w:t>
      </w:r>
      <w:r>
        <w:rPr>
          <w:rFonts w:hint="eastAsia" w:ascii="仿宋_GB2312" w:hAnsi="仿宋_GB2312" w:eastAsia="仿宋_GB2312" w:cs="仿宋_GB2312"/>
          <w:b w:val="0"/>
          <w:bCs w:val="0"/>
          <w:color w:val="auto"/>
          <w:szCs w:val="32"/>
          <w:highlight w:val="none"/>
          <w:lang w:val="en-US" w:eastAsia="zh-CN"/>
        </w:rPr>
        <w:t>173家，其中，产值过10亿元的工业企业由2家增长至7家，规上工业增加值年均增长9.1%，规上工业利润总额稳居全市前三，规上工业利润率</w:t>
      </w:r>
      <w:r>
        <w:rPr>
          <w:rFonts w:hint="eastAsia" w:cs="仿宋_GB2312"/>
          <w:b w:val="0"/>
          <w:bCs w:val="0"/>
          <w:color w:val="auto"/>
          <w:szCs w:val="32"/>
          <w:highlight w:val="none"/>
          <w:lang w:val="en-US" w:eastAsia="zh-CN"/>
        </w:rPr>
        <w:t>持续</w:t>
      </w:r>
      <w:r>
        <w:rPr>
          <w:rFonts w:hint="eastAsia" w:ascii="仿宋_GB2312" w:hAnsi="仿宋_GB2312" w:eastAsia="仿宋_GB2312" w:cs="仿宋_GB2312"/>
          <w:b w:val="0"/>
          <w:bCs w:val="0"/>
          <w:color w:val="auto"/>
          <w:szCs w:val="32"/>
          <w:highlight w:val="none"/>
          <w:lang w:val="en-US" w:eastAsia="zh-CN"/>
        </w:rPr>
        <w:t>位居全市第一。全区工业投资、工业技改投资、制造业投资年均增长8%、20.6%、3.5%，发展活力持续迸发。</w:t>
      </w:r>
      <w:r>
        <w:rPr>
          <w:rFonts w:hint="eastAsia" w:cstheme="minorBidi"/>
          <w:color w:val="auto"/>
          <w:kern w:val="0"/>
          <w:sz w:val="32"/>
          <w:szCs w:val="32"/>
          <w:highlight w:val="none"/>
          <w:lang w:val="en-US" w:eastAsia="zh-CN"/>
        </w:rPr>
        <w:t>全区专精特新、瞪羚企业等高质量企业达到350家，其中新增国家级专精特新“小巨人”4家</w:t>
      </w:r>
      <w:r>
        <w:rPr>
          <w:rFonts w:hint="eastAsia" w:ascii="仿宋_GB2312" w:hAnsi="仿宋_GB2312" w:eastAsia="仿宋_GB2312" w:cstheme="minorBidi"/>
          <w:color w:val="auto"/>
          <w:kern w:val="0"/>
          <w:sz w:val="32"/>
          <w:szCs w:val="32"/>
          <w:highlight w:val="none"/>
          <w:lang w:val="en-US" w:eastAsia="zh-CN"/>
        </w:rPr>
        <w:t>。202</w:t>
      </w:r>
      <w:r>
        <w:rPr>
          <w:rFonts w:hint="eastAsia" w:cstheme="minorBidi"/>
          <w:color w:val="auto"/>
          <w:kern w:val="0"/>
          <w:sz w:val="32"/>
          <w:szCs w:val="32"/>
          <w:highlight w:val="none"/>
          <w:lang w:val="en-US" w:eastAsia="zh-CN"/>
        </w:rPr>
        <w:t>5</w:t>
      </w:r>
      <w:r>
        <w:rPr>
          <w:rFonts w:hint="eastAsia" w:ascii="仿宋_GB2312" w:hAnsi="仿宋_GB2312" w:eastAsia="仿宋_GB2312" w:cstheme="minorBidi"/>
          <w:color w:val="auto"/>
          <w:kern w:val="0"/>
          <w:sz w:val="32"/>
          <w:szCs w:val="32"/>
          <w:highlight w:val="none"/>
          <w:lang w:val="en-US" w:eastAsia="zh-CN"/>
        </w:rPr>
        <w:t>年</w:t>
      </w:r>
      <w:r>
        <w:rPr>
          <w:rFonts w:hint="eastAsia" w:cstheme="minorBidi"/>
          <w:color w:val="auto"/>
          <w:kern w:val="0"/>
          <w:sz w:val="32"/>
          <w:szCs w:val="32"/>
          <w:highlight w:val="none"/>
          <w:lang w:val="en-US" w:eastAsia="zh-CN"/>
        </w:rPr>
        <w:t>，</w:t>
      </w:r>
      <w:r>
        <w:rPr>
          <w:rFonts w:hint="eastAsia" w:ascii="仿宋_GB2312" w:hAnsi="仿宋_GB2312" w:eastAsia="仿宋_GB2312" w:cstheme="minorBidi"/>
          <w:color w:val="auto"/>
          <w:kern w:val="0"/>
          <w:sz w:val="32"/>
          <w:szCs w:val="32"/>
          <w:highlight w:val="none"/>
          <w:lang w:val="en-US" w:eastAsia="zh-CN"/>
        </w:rPr>
        <w:t>全区科技型中小企业数量</w:t>
      </w:r>
      <w:r>
        <w:rPr>
          <w:rFonts w:hint="eastAsia" w:cstheme="minorBidi"/>
          <w:color w:val="auto"/>
          <w:kern w:val="0"/>
          <w:sz w:val="32"/>
          <w:szCs w:val="32"/>
          <w:highlight w:val="none"/>
          <w:lang w:val="en-US" w:eastAsia="zh-CN"/>
        </w:rPr>
        <w:t>、</w:t>
      </w:r>
      <w:r>
        <w:rPr>
          <w:rFonts w:hint="eastAsia" w:ascii="仿宋_GB2312" w:hAnsi="仿宋_GB2312" w:eastAsia="仿宋_GB2312" w:cstheme="minorBidi"/>
          <w:color w:val="auto"/>
          <w:kern w:val="0"/>
          <w:sz w:val="32"/>
          <w:szCs w:val="32"/>
          <w:highlight w:val="none"/>
          <w:lang w:val="en-US" w:eastAsia="zh-CN"/>
        </w:rPr>
        <w:t>高新技术企业数量</w:t>
      </w:r>
      <w:r>
        <w:rPr>
          <w:rFonts w:hint="eastAsia" w:cstheme="minorBidi"/>
          <w:color w:val="auto"/>
          <w:kern w:val="0"/>
          <w:sz w:val="32"/>
          <w:szCs w:val="32"/>
          <w:highlight w:val="none"/>
          <w:lang w:val="en-US" w:eastAsia="zh-CN"/>
        </w:rPr>
        <w:t>分别达到359</w:t>
      </w:r>
      <w:r>
        <w:rPr>
          <w:rFonts w:hint="eastAsia" w:ascii="仿宋_GB2312" w:hAnsi="仿宋_GB2312" w:eastAsia="仿宋_GB2312" w:cstheme="minorBidi"/>
          <w:color w:val="auto"/>
          <w:kern w:val="0"/>
          <w:sz w:val="32"/>
          <w:szCs w:val="32"/>
          <w:highlight w:val="none"/>
          <w:lang w:val="en-US" w:eastAsia="zh-CN"/>
        </w:rPr>
        <w:t>家</w:t>
      </w:r>
      <w:r>
        <w:rPr>
          <w:rFonts w:hint="eastAsia" w:cstheme="minorBidi"/>
          <w:color w:val="auto"/>
          <w:kern w:val="0"/>
          <w:sz w:val="32"/>
          <w:szCs w:val="32"/>
          <w:highlight w:val="none"/>
          <w:lang w:val="en-US" w:eastAsia="zh-CN"/>
        </w:rPr>
        <w:t>、</w:t>
      </w:r>
      <w:r>
        <w:rPr>
          <w:rFonts w:hint="eastAsia" w:ascii="仿宋_GB2312" w:hAnsi="仿宋_GB2312" w:eastAsia="仿宋_GB2312" w:cstheme="minorBidi"/>
          <w:color w:val="auto"/>
          <w:kern w:val="0"/>
          <w:sz w:val="32"/>
          <w:szCs w:val="32"/>
          <w:highlight w:val="none"/>
          <w:lang w:val="en-US" w:eastAsia="zh-CN"/>
        </w:rPr>
        <w:t>2</w:t>
      </w:r>
      <w:r>
        <w:rPr>
          <w:rFonts w:hint="eastAsia" w:cstheme="minorBidi"/>
          <w:color w:val="auto"/>
          <w:kern w:val="0"/>
          <w:sz w:val="32"/>
          <w:szCs w:val="32"/>
          <w:highlight w:val="none"/>
          <w:lang w:val="en-US" w:eastAsia="zh-CN"/>
        </w:rPr>
        <w:t>51</w:t>
      </w:r>
      <w:r>
        <w:rPr>
          <w:rFonts w:hint="eastAsia" w:ascii="仿宋_GB2312" w:hAnsi="仿宋_GB2312" w:eastAsia="仿宋_GB2312" w:cstheme="minorBidi"/>
          <w:color w:val="auto"/>
          <w:kern w:val="0"/>
          <w:sz w:val="32"/>
          <w:szCs w:val="32"/>
          <w:highlight w:val="none"/>
          <w:lang w:val="en-US" w:eastAsia="zh-CN"/>
        </w:rPr>
        <w:t>家，</w:t>
      </w:r>
      <w:r>
        <w:rPr>
          <w:rFonts w:hint="eastAsia" w:cstheme="minorBidi"/>
          <w:color w:val="auto"/>
          <w:kern w:val="0"/>
          <w:sz w:val="32"/>
          <w:szCs w:val="32"/>
          <w:highlight w:val="none"/>
          <w:lang w:val="en-US" w:eastAsia="zh-CN"/>
        </w:rPr>
        <w:t>较2020年</w:t>
      </w:r>
      <w:r>
        <w:rPr>
          <w:rFonts w:hint="eastAsia" w:ascii="仿宋_GB2312" w:hAnsi="仿宋_GB2312" w:eastAsia="仿宋_GB2312" w:cstheme="minorBidi"/>
          <w:color w:val="auto"/>
          <w:kern w:val="0"/>
          <w:sz w:val="32"/>
          <w:szCs w:val="32"/>
          <w:highlight w:val="none"/>
          <w:lang w:val="en-US" w:eastAsia="zh-CN"/>
        </w:rPr>
        <w:t>均实现翻倍增长。济阳区获评山东省食品饮料特色优势食品产业强县（区），特殊食品城被认定为全国特殊食品产业集群示范基地。</w:t>
      </w:r>
      <w:r>
        <w:rPr>
          <w:rFonts w:hint="eastAsia" w:ascii="仿宋_GB2312" w:hAnsi="仿宋_GB2312" w:eastAsia="仿宋_GB2312" w:cs="仿宋_GB2312"/>
          <w:b w:val="0"/>
          <w:bCs w:val="0"/>
          <w:color w:val="auto"/>
          <w:szCs w:val="32"/>
          <w:highlight w:val="none"/>
          <w:lang w:val="en-US" w:eastAsia="zh-CN"/>
        </w:rPr>
        <w:t>三产</w:t>
      </w:r>
      <w:r>
        <w:rPr>
          <w:rFonts w:hint="eastAsia" w:cs="仿宋_GB2312"/>
          <w:b w:val="0"/>
          <w:bCs w:val="0"/>
          <w:color w:val="auto"/>
          <w:szCs w:val="32"/>
          <w:highlight w:val="none"/>
          <w:lang w:val="en-US" w:eastAsia="zh-CN"/>
        </w:rPr>
        <w:t>持续</w:t>
      </w:r>
      <w:r>
        <w:rPr>
          <w:rFonts w:hint="eastAsia" w:ascii="仿宋_GB2312" w:hAnsi="仿宋_GB2312" w:eastAsia="仿宋_GB2312" w:cs="仿宋_GB2312"/>
          <w:b w:val="0"/>
          <w:bCs w:val="0"/>
          <w:color w:val="auto"/>
          <w:szCs w:val="32"/>
          <w:highlight w:val="none"/>
          <w:lang w:val="en-US" w:eastAsia="zh-CN"/>
        </w:rPr>
        <w:t>规模扩容，第三产业增加值占全区</w:t>
      </w:r>
      <w:r>
        <w:rPr>
          <w:rFonts w:hint="eastAsia" w:cs="仿宋_GB2312"/>
          <w:b w:val="0"/>
          <w:bCs w:val="0"/>
          <w:color w:val="auto"/>
          <w:szCs w:val="32"/>
          <w:highlight w:val="none"/>
          <w:lang w:val="en-US" w:eastAsia="zh-CN"/>
        </w:rPr>
        <w:t>地区</w:t>
      </w:r>
      <w:r>
        <w:rPr>
          <w:rFonts w:hint="eastAsia" w:ascii="仿宋_GB2312" w:hAnsi="仿宋_GB2312" w:eastAsia="仿宋_GB2312" w:cs="仿宋_GB2312"/>
          <w:b w:val="0"/>
          <w:bCs w:val="0"/>
          <w:color w:val="auto"/>
          <w:szCs w:val="32"/>
          <w:highlight w:val="none"/>
          <w:lang w:val="en-US" w:eastAsia="zh-CN"/>
        </w:rPr>
        <w:t>生产总值比重跃升到48%，较2020年提高11.7个百分点。建成华百文化广场、大丰城市之星等一刻钟便民生活圈7处，累计招引居然智家等品牌首店12家，限上单位增至158家，社会消费品零售总额年均增长4.1%。202</w:t>
      </w:r>
      <w:r>
        <w:rPr>
          <w:rFonts w:hint="eastAsia" w:cs="仿宋_GB2312"/>
          <w:b w:val="0"/>
          <w:bCs w:val="0"/>
          <w:color w:val="auto"/>
          <w:szCs w:val="32"/>
          <w:highlight w:val="none"/>
          <w:lang w:val="en-US" w:eastAsia="zh-CN"/>
        </w:rPr>
        <w:t>5</w:t>
      </w:r>
      <w:r>
        <w:rPr>
          <w:rFonts w:hint="eastAsia" w:ascii="仿宋_GB2312" w:hAnsi="仿宋_GB2312" w:eastAsia="仿宋_GB2312" w:cs="仿宋_GB2312"/>
          <w:b w:val="0"/>
          <w:bCs w:val="0"/>
          <w:color w:val="auto"/>
          <w:szCs w:val="32"/>
          <w:highlight w:val="none"/>
          <w:lang w:val="en-US" w:eastAsia="zh-CN"/>
        </w:rPr>
        <w:t>年全区金融业增加值达1</w:t>
      </w:r>
      <w:r>
        <w:rPr>
          <w:rFonts w:hint="eastAsia" w:cs="仿宋_GB2312"/>
          <w:b w:val="0"/>
          <w:bCs w:val="0"/>
          <w:color w:val="auto"/>
          <w:szCs w:val="32"/>
          <w:highlight w:val="none"/>
          <w:lang w:val="en-US" w:eastAsia="zh-CN"/>
        </w:rPr>
        <w:t>5.86</w:t>
      </w:r>
      <w:r>
        <w:rPr>
          <w:rFonts w:hint="eastAsia" w:ascii="仿宋_GB2312" w:hAnsi="仿宋_GB2312" w:eastAsia="仿宋_GB2312" w:cs="仿宋_GB2312"/>
          <w:b w:val="0"/>
          <w:bCs w:val="0"/>
          <w:color w:val="auto"/>
          <w:szCs w:val="32"/>
          <w:highlight w:val="none"/>
          <w:lang w:val="en-US" w:eastAsia="zh-CN"/>
        </w:rPr>
        <w:t>亿元，较2020年增加</w:t>
      </w:r>
      <w:r>
        <w:rPr>
          <w:rFonts w:hint="eastAsia" w:cs="仿宋_GB2312"/>
          <w:b w:val="0"/>
          <w:bCs w:val="0"/>
          <w:color w:val="auto"/>
          <w:szCs w:val="32"/>
          <w:highlight w:val="none"/>
          <w:lang w:val="en-US" w:eastAsia="zh-CN"/>
        </w:rPr>
        <w:t>6.71</w:t>
      </w:r>
      <w:r>
        <w:rPr>
          <w:rFonts w:hint="eastAsia" w:ascii="仿宋_GB2312" w:hAnsi="仿宋_GB2312" w:eastAsia="仿宋_GB2312" w:cs="仿宋_GB2312"/>
          <w:b w:val="0"/>
          <w:bCs w:val="0"/>
          <w:color w:val="auto"/>
          <w:szCs w:val="32"/>
          <w:highlight w:val="none"/>
          <w:lang w:val="en-US" w:eastAsia="zh-CN"/>
        </w:rPr>
        <w:t>亿元。“济北手造”引领文化产业发展，自2023年以来，手造产品带动全区特色产业销售及研学收入过亿元。聚焦打造“济阳</w:t>
      </w:r>
      <w:r>
        <w:rPr>
          <w:rFonts w:hint="eastAsia" w:cs="仿宋_GB2312"/>
          <w:b w:val="0"/>
          <w:bCs w:val="0"/>
          <w:color w:val="auto"/>
          <w:szCs w:val="32"/>
          <w:highlight w:val="none"/>
          <w:lang w:val="en-US" w:eastAsia="zh-CN"/>
        </w:rPr>
        <w:t>@</w:t>
      </w:r>
      <w:r>
        <w:rPr>
          <w:rFonts w:hint="eastAsia" w:ascii="仿宋_GB2312" w:hAnsi="仿宋_GB2312" w:eastAsia="仿宋_GB2312" w:cs="仿宋_GB2312"/>
          <w:b w:val="0"/>
          <w:bCs w:val="0"/>
          <w:color w:val="auto"/>
          <w:szCs w:val="32"/>
          <w:highlight w:val="none"/>
          <w:lang w:val="en-US" w:eastAsia="zh-CN"/>
        </w:rPr>
        <w:t>黄河”文化品牌，落地全国唯一黄河文化主题夜经济街区“九曲黄河万里情”，2025年9月开街</w:t>
      </w:r>
      <w:r>
        <w:rPr>
          <w:rFonts w:hint="eastAsia" w:cs="仿宋_GB2312"/>
          <w:b w:val="0"/>
          <w:bCs w:val="0"/>
          <w:color w:val="auto"/>
          <w:szCs w:val="32"/>
          <w:highlight w:val="none"/>
          <w:lang w:val="en-US" w:eastAsia="zh-CN"/>
        </w:rPr>
        <w:t>以来</w:t>
      </w:r>
      <w:r>
        <w:rPr>
          <w:rFonts w:hint="eastAsia" w:ascii="仿宋_GB2312" w:hAnsi="仿宋_GB2312" w:eastAsia="仿宋_GB2312" w:cs="仿宋_GB2312"/>
          <w:b w:val="0"/>
          <w:bCs w:val="0"/>
          <w:color w:val="auto"/>
          <w:szCs w:val="32"/>
          <w:highlight w:val="none"/>
          <w:lang w:val="en-US" w:eastAsia="zh-CN"/>
        </w:rPr>
        <w:t>，已累计接待游客</w:t>
      </w:r>
      <w:r>
        <w:rPr>
          <w:rFonts w:hint="eastAsia" w:cs="仿宋_GB2312"/>
          <w:b w:val="0"/>
          <w:bCs w:val="0"/>
          <w:color w:val="auto"/>
          <w:szCs w:val="32"/>
          <w:highlight w:val="none"/>
          <w:lang w:val="en-US" w:eastAsia="zh-CN"/>
        </w:rPr>
        <w:t>超</w:t>
      </w:r>
      <w:r>
        <w:rPr>
          <w:rFonts w:hint="eastAsia" w:ascii="仿宋_GB2312" w:hAnsi="仿宋_GB2312" w:eastAsia="仿宋_GB2312" w:cs="仿宋_GB2312"/>
          <w:b w:val="0"/>
          <w:bCs w:val="0"/>
          <w:color w:val="auto"/>
          <w:szCs w:val="32"/>
          <w:highlight w:val="none"/>
          <w:lang w:val="en-US" w:eastAsia="zh-CN"/>
        </w:rPr>
        <w:t>百万</w:t>
      </w:r>
      <w:r>
        <w:rPr>
          <w:rFonts w:hint="eastAsia" w:cs="仿宋_GB2312"/>
          <w:b w:val="0"/>
          <w:bCs w:val="0"/>
          <w:color w:val="auto"/>
          <w:szCs w:val="32"/>
          <w:highlight w:val="none"/>
          <w:lang w:val="en-US" w:eastAsia="zh-CN"/>
        </w:rPr>
        <w:t>余</w:t>
      </w:r>
      <w:r>
        <w:rPr>
          <w:rFonts w:hint="eastAsia" w:ascii="仿宋_GB2312" w:hAnsi="仿宋_GB2312" w:eastAsia="仿宋_GB2312" w:cs="仿宋_GB2312"/>
          <w:b w:val="0"/>
          <w:bCs w:val="0"/>
          <w:color w:val="auto"/>
          <w:szCs w:val="32"/>
          <w:highlight w:val="none"/>
          <w:lang w:val="en-US" w:eastAsia="zh-CN"/>
        </w:rPr>
        <w:t>人次，“一河一线一新区”城市IP逐步深入人心。</w:t>
      </w:r>
    </w:p>
    <w:p w14:paraId="1C6E344D">
      <w:pPr>
        <w:keepNext w:val="0"/>
        <w:keepLines w:val="0"/>
        <w:pageBreakBefore w:val="0"/>
        <w:widowControl w:val="0"/>
        <w:shd w:val="clear"/>
        <w:kinsoku/>
        <w:wordWrap/>
        <w:overflowPunct w:val="0"/>
        <w:topLinePunct w:val="0"/>
        <w:autoSpaceDE/>
        <w:autoSpaceDN/>
        <w:bidi w:val="0"/>
        <w:adjustRightInd w:val="0"/>
        <w:snapToGrid w:val="0"/>
        <w:spacing w:beforeLines="0" w:afterLines="0" w:line="600" w:lineRule="exact"/>
        <w:ind w:firstLine="640" w:firstLineChars="200"/>
        <w:jc w:val="both"/>
        <w:textAlignment w:val="auto"/>
        <w:outlineLvl w:val="9"/>
        <w:rPr>
          <w:rFonts w:hint="eastAsia" w:ascii="仿宋_GB2312" w:hAnsi="仿宋_GB2312" w:eastAsia="仿宋_GB2312" w:cs="仿宋_GB2312"/>
          <w:b w:val="0"/>
          <w:bCs w:val="0"/>
          <w:color w:val="auto"/>
          <w:szCs w:val="32"/>
          <w:highlight w:val="none"/>
          <w:lang w:val="en-US" w:eastAsia="zh-CN"/>
        </w:rPr>
      </w:pPr>
      <w:r>
        <w:rPr>
          <w:rFonts w:hint="eastAsia" w:ascii="楷体_GB2312" w:hAnsi="楷体_GB2312" w:eastAsia="楷体_GB2312" w:cs="楷体_GB2312"/>
          <w:b w:val="0"/>
          <w:bCs w:val="0"/>
          <w:color w:val="auto"/>
          <w:spacing w:val="0"/>
          <w:kern w:val="0"/>
          <w:sz w:val="32"/>
          <w:szCs w:val="32"/>
          <w:highlight w:val="none"/>
          <w:lang w:val="en-US" w:eastAsia="zh-CN"/>
        </w:rPr>
        <w:t>（二）城乡建设成果丰硕。</w:t>
      </w:r>
      <w:r>
        <w:rPr>
          <w:rFonts w:hint="eastAsia" w:ascii="仿宋_GB2312" w:hAnsi="仿宋_GB2312" w:eastAsia="仿宋_GB2312" w:cs="仿宋_GB2312"/>
          <w:b w:val="0"/>
          <w:bCs w:val="0"/>
          <w:color w:val="auto"/>
          <w:szCs w:val="32"/>
          <w:highlight w:val="none"/>
          <w:lang w:val="en-US" w:eastAsia="zh-CN"/>
        </w:rPr>
        <w:t>“三区三线”获国家批复，城镇开发边界规模扩至67.92平方公里，</w:t>
      </w:r>
      <w:r>
        <w:rPr>
          <w:rFonts w:hint="eastAsia" w:cs="仿宋_GB2312"/>
          <w:b w:val="0"/>
          <w:bCs w:val="0"/>
          <w:color w:val="auto"/>
          <w:szCs w:val="32"/>
          <w:highlight w:val="none"/>
          <w:lang w:val="en-US" w:eastAsia="zh-CN"/>
        </w:rPr>
        <w:t>山东</w:t>
      </w:r>
      <w:r>
        <w:rPr>
          <w:rFonts w:hint="eastAsia" w:ascii="仿宋_GB2312" w:hAnsi="仿宋_GB2312" w:eastAsia="仿宋_GB2312" w:cs="仿宋_GB2312"/>
          <w:b w:val="0"/>
          <w:bCs w:val="0"/>
          <w:color w:val="auto"/>
          <w:szCs w:val="32"/>
          <w:highlight w:val="none"/>
          <w:lang w:eastAsia="zh-CN"/>
        </w:rPr>
        <w:t>济北经济开发区</w:t>
      </w:r>
      <w:r>
        <w:rPr>
          <w:rFonts w:hint="eastAsia" w:ascii="仿宋_GB2312" w:hAnsi="仿宋_GB2312" w:eastAsia="仿宋_GB2312" w:cs="仿宋_GB2312"/>
          <w:b w:val="0"/>
          <w:bCs w:val="0"/>
          <w:color w:val="auto"/>
          <w:szCs w:val="32"/>
          <w:highlight w:val="none"/>
          <w:lang w:val="en-US" w:eastAsia="zh-CN"/>
        </w:rPr>
        <w:t>规划面积由5.86平方公里扩大到14.99平方公里。高标准完成济北、回河等4个中心城区片区控制性详细规划编制，成为全市首个实现中心城区控规全覆盖的外围区县。依托省级城乡融合发展试验区建设契机，着力补齐</w:t>
      </w:r>
      <w:r>
        <w:rPr>
          <w:rFonts w:hint="eastAsia" w:cs="仿宋_GB2312"/>
          <w:b w:val="0"/>
          <w:bCs w:val="0"/>
          <w:color w:val="auto"/>
          <w:szCs w:val="32"/>
          <w:highlight w:val="none"/>
          <w:lang w:val="en-US" w:eastAsia="zh-CN"/>
        </w:rPr>
        <w:t>基础</w:t>
      </w:r>
      <w:r>
        <w:rPr>
          <w:rFonts w:hint="eastAsia" w:ascii="仿宋_GB2312" w:hAnsi="仿宋_GB2312" w:eastAsia="仿宋_GB2312" w:cs="仿宋_GB2312"/>
          <w:b w:val="0"/>
          <w:bCs w:val="0"/>
          <w:color w:val="auto"/>
          <w:szCs w:val="32"/>
          <w:highlight w:val="none"/>
          <w:lang w:val="en-US" w:eastAsia="zh-CN"/>
        </w:rPr>
        <w:t>设施短板、提升人居品质，印发实施《综合交通中长期发展规划</w:t>
      </w:r>
      <w:r>
        <w:rPr>
          <w:rFonts w:hint="eastAsia" w:cs="仿宋_GB2312"/>
          <w:b w:val="0"/>
          <w:bCs w:val="0"/>
          <w:color w:val="auto"/>
          <w:szCs w:val="32"/>
          <w:highlight w:val="none"/>
          <w:lang w:val="en-US" w:eastAsia="zh-CN"/>
        </w:rPr>
        <w:t>（</w:t>
      </w:r>
      <w:r>
        <w:rPr>
          <w:rFonts w:hint="eastAsia" w:ascii="仿宋_GB2312" w:hAnsi="仿宋_GB2312" w:eastAsia="仿宋_GB2312" w:cs="仿宋_GB2312"/>
          <w:b w:val="0"/>
          <w:bCs w:val="0"/>
          <w:color w:val="auto"/>
          <w:szCs w:val="32"/>
          <w:highlight w:val="none"/>
          <w:lang w:val="en-US" w:eastAsia="zh-CN"/>
        </w:rPr>
        <w:t>2024—2035年</w:t>
      </w:r>
      <w:r>
        <w:rPr>
          <w:rFonts w:hint="eastAsia" w:cs="仿宋_GB2312"/>
          <w:b w:val="0"/>
          <w:bCs w:val="0"/>
          <w:color w:val="auto"/>
          <w:szCs w:val="32"/>
          <w:highlight w:val="none"/>
          <w:lang w:val="en-US" w:eastAsia="zh-CN"/>
        </w:rPr>
        <w:t>）</w:t>
      </w:r>
      <w:r>
        <w:rPr>
          <w:rFonts w:hint="eastAsia" w:ascii="仿宋_GB2312" w:hAnsi="仿宋_GB2312" w:eastAsia="仿宋_GB2312" w:cs="仿宋_GB2312"/>
          <w:b w:val="0"/>
          <w:bCs w:val="0"/>
          <w:color w:val="auto"/>
          <w:szCs w:val="32"/>
          <w:highlight w:val="none"/>
          <w:lang w:val="en-US" w:eastAsia="zh-CN"/>
        </w:rPr>
        <w:t>》，绕城高速“大北环”</w:t>
      </w:r>
      <w:r>
        <w:rPr>
          <w:rFonts w:hint="eastAsia" w:cs="仿宋_GB2312"/>
          <w:b w:val="0"/>
          <w:bCs w:val="0"/>
          <w:color w:val="auto"/>
          <w:szCs w:val="32"/>
          <w:highlight w:val="none"/>
          <w:lang w:val="en-US" w:eastAsia="zh-CN"/>
        </w:rPr>
        <w:t>、</w:t>
      </w:r>
      <w:r>
        <w:rPr>
          <w:rFonts w:hint="eastAsia" w:ascii="仿宋_GB2312" w:hAnsi="仿宋_GB2312" w:eastAsia="仿宋_GB2312" w:cs="仿宋_GB2312"/>
          <w:b w:val="0"/>
          <w:bCs w:val="0"/>
          <w:color w:val="auto"/>
          <w:szCs w:val="32"/>
          <w:highlight w:val="none"/>
          <w:lang w:val="en-US" w:eastAsia="zh-CN"/>
        </w:rPr>
        <w:t>济南轨道交通济阳线竣工通车，济滨高铁济阳段、黄河大道北延等重大工程稳步推进，“外联内畅”交通网络加速形成。聚焦群众“住有所居、住有优居”需求，精准推进城中村改造工作，创新安置保障模式，争取专项借款及中央补助资金超50亿元，实施8个城中村改造项目，累计建成安置区15个、回迁安置群众8780户，基本解决拆迁历史遗留问题。扎实推进17个老旧小区改造提升，改造面积55.81万平方米。同时，持续完善城市配套功能，新增城区供热面积60万平方米，新建改造市政道路24条、公园游园17处，城区雨污分流管网改造工作通过省级验收，新建改造5G基站1422处，获评济南市千兆城市示范区</w:t>
      </w:r>
      <w:r>
        <w:rPr>
          <w:rFonts w:hint="eastAsia" w:cs="仿宋_GB2312"/>
          <w:b w:val="0"/>
          <w:bCs w:val="0"/>
          <w:color w:val="auto"/>
          <w:szCs w:val="32"/>
          <w:highlight w:val="none"/>
          <w:lang w:val="en-US" w:eastAsia="zh-CN"/>
        </w:rPr>
        <w:t>。</w:t>
      </w:r>
      <w:r>
        <w:rPr>
          <w:rFonts w:hint="eastAsia" w:ascii="仿宋_GB2312" w:hAnsi="仿宋_GB2312" w:eastAsia="仿宋_GB2312" w:cs="仿宋_GB2312"/>
          <w:b w:val="0"/>
          <w:bCs w:val="0"/>
          <w:color w:val="auto"/>
          <w:szCs w:val="32"/>
          <w:highlight w:val="none"/>
          <w:lang w:val="en-US" w:eastAsia="zh-CN"/>
        </w:rPr>
        <w:t>完成省级四星级新型智慧城市创建，</w:t>
      </w:r>
      <w:r>
        <w:rPr>
          <w:rFonts w:hint="eastAsia" w:ascii="仿宋_GB2312" w:hAnsi="仿宋_GB2312" w:eastAsia="仿宋_GB2312" w:cstheme="minorBidi"/>
          <w:color w:val="auto"/>
          <w:kern w:val="0"/>
          <w:sz w:val="32"/>
          <w:szCs w:val="32"/>
          <w:highlight w:val="none"/>
          <w:lang w:val="en-US" w:eastAsia="zh-CN"/>
        </w:rPr>
        <w:t>累计建成</w:t>
      </w:r>
      <w:r>
        <w:rPr>
          <w:rFonts w:hint="eastAsia" w:cstheme="minorBidi"/>
          <w:color w:val="auto"/>
          <w:kern w:val="0"/>
          <w:sz w:val="32"/>
          <w:szCs w:val="32"/>
          <w:highlight w:val="none"/>
          <w:lang w:val="en-US" w:eastAsia="zh-CN"/>
        </w:rPr>
        <w:t>20</w:t>
      </w:r>
      <w:r>
        <w:rPr>
          <w:rFonts w:hint="eastAsia" w:ascii="仿宋_GB2312" w:hAnsi="仿宋_GB2312" w:eastAsia="仿宋_GB2312" w:cstheme="minorBidi"/>
          <w:color w:val="auto"/>
          <w:kern w:val="0"/>
          <w:sz w:val="32"/>
          <w:szCs w:val="32"/>
          <w:highlight w:val="none"/>
          <w:lang w:val="en-US" w:eastAsia="zh-CN"/>
        </w:rPr>
        <w:t>个基础型及以上省级智慧社区试点，荷畔社区获评省级标杆型智慧社区</w:t>
      </w:r>
      <w:r>
        <w:rPr>
          <w:rFonts w:hint="eastAsia" w:cstheme="minorBidi"/>
          <w:color w:val="auto"/>
          <w:kern w:val="0"/>
          <w:sz w:val="32"/>
          <w:szCs w:val="32"/>
          <w:highlight w:val="none"/>
          <w:lang w:val="en-US" w:eastAsia="zh-CN"/>
        </w:rPr>
        <w:t>，</w:t>
      </w:r>
      <w:r>
        <w:rPr>
          <w:rFonts w:hint="eastAsia" w:ascii="仿宋_GB2312" w:hAnsi="仿宋_GB2312" w:eastAsia="仿宋_GB2312" w:cs="仿宋_GB2312"/>
          <w:b w:val="0"/>
          <w:bCs w:val="0"/>
          <w:color w:val="auto"/>
          <w:szCs w:val="32"/>
          <w:highlight w:val="none"/>
          <w:lang w:val="en-US" w:eastAsia="zh-CN"/>
        </w:rPr>
        <w:t>群众生活舒适度显著提高。</w:t>
      </w:r>
      <w:r>
        <w:rPr>
          <w:rFonts w:hint="eastAsia" w:cs="仿宋_GB2312"/>
          <w:b w:val="0"/>
          <w:bCs w:val="0"/>
          <w:color w:val="auto"/>
          <w:szCs w:val="32"/>
          <w:highlight w:val="none"/>
          <w:lang w:val="en-US" w:eastAsia="zh-CN"/>
        </w:rPr>
        <w:t>推进</w:t>
      </w:r>
      <w:r>
        <w:rPr>
          <w:rFonts w:hint="eastAsia" w:ascii="仿宋_GB2312" w:hAnsi="仿宋_GB2312" w:eastAsia="仿宋_GB2312" w:cs="仿宋_GB2312"/>
          <w:b w:val="0"/>
          <w:bCs w:val="0"/>
          <w:color w:val="auto"/>
          <w:szCs w:val="32"/>
          <w:highlight w:val="none"/>
          <w:lang w:val="en-US" w:eastAsia="zh-CN"/>
        </w:rPr>
        <w:t>乡村</w:t>
      </w:r>
      <w:r>
        <w:rPr>
          <w:rFonts w:hint="eastAsia" w:cs="仿宋_GB2312"/>
          <w:b w:val="0"/>
          <w:bCs w:val="0"/>
          <w:color w:val="auto"/>
          <w:szCs w:val="32"/>
          <w:highlight w:val="none"/>
          <w:lang w:val="en-US" w:eastAsia="zh-CN"/>
        </w:rPr>
        <w:t>全面</w:t>
      </w:r>
      <w:r>
        <w:rPr>
          <w:rFonts w:hint="eastAsia" w:ascii="仿宋_GB2312" w:hAnsi="仿宋_GB2312" w:eastAsia="仿宋_GB2312" w:cs="仿宋_GB2312"/>
          <w:b w:val="0"/>
          <w:bCs w:val="0"/>
          <w:color w:val="auto"/>
          <w:szCs w:val="32"/>
          <w:highlight w:val="none"/>
          <w:lang w:val="en-US" w:eastAsia="zh-CN"/>
        </w:rPr>
        <w:t>振兴，科学谋划“甘甜黄瓜、多彩番茄、富硒西瓜、黄河稻米、万亩林果”五大共富区，将全区566个行政村划分为40个和美乡村片区，6个省、市、区级片区已建成见效，农村人居环境综合考评稳居全市前列。打造“黄河·稻乡湾”泉韵乡居片区，串联12家精品研学基地，培育乡村旅游、农事体验等特色业态，带动农民增收致富，让乡村既有“颜值”更有“产值”。</w:t>
      </w:r>
    </w:p>
    <w:p w14:paraId="2953A511">
      <w:pPr>
        <w:keepNext w:val="0"/>
        <w:keepLines w:val="0"/>
        <w:pageBreakBefore w:val="0"/>
        <w:widowControl w:val="0"/>
        <w:shd w:val="clear"/>
        <w:kinsoku/>
        <w:wordWrap/>
        <w:overflowPunct w:val="0"/>
        <w:topLinePunct w:val="0"/>
        <w:autoSpaceDE/>
        <w:autoSpaceDN/>
        <w:bidi w:val="0"/>
        <w:adjustRightInd w:val="0"/>
        <w:snapToGrid w:val="0"/>
        <w:spacing w:beforeLines="0" w:afterLines="0" w:line="600" w:lineRule="exact"/>
        <w:ind w:firstLine="640" w:firstLineChars="200"/>
        <w:jc w:val="both"/>
        <w:textAlignment w:val="auto"/>
        <w:outlineLvl w:val="9"/>
        <w:rPr>
          <w:rFonts w:hint="eastAsia" w:ascii="楷体_GB2312" w:hAnsi="楷体_GB2312" w:eastAsia="楷体_GB2312" w:cs="楷体_GB2312"/>
          <w:color w:val="auto"/>
          <w:kern w:val="0"/>
          <w:sz w:val="32"/>
          <w:szCs w:val="32"/>
          <w:highlight w:val="none"/>
          <w:lang w:val="en-US" w:eastAsia="zh-CN"/>
        </w:rPr>
      </w:pPr>
      <w:r>
        <w:rPr>
          <w:rFonts w:hint="eastAsia" w:ascii="楷体_GB2312" w:hAnsi="楷体_GB2312" w:eastAsia="楷体_GB2312" w:cs="楷体_GB2312"/>
          <w:color w:val="auto"/>
          <w:kern w:val="0"/>
          <w:sz w:val="32"/>
          <w:szCs w:val="32"/>
          <w:highlight w:val="none"/>
          <w:lang w:val="en-US" w:eastAsia="zh-CN"/>
        </w:rPr>
        <w:t>（三）民生保障不断增强。</w:t>
      </w:r>
      <w:r>
        <w:rPr>
          <w:rFonts w:hint="eastAsia" w:ascii="仿宋_GB2312" w:hAnsi="仿宋_GB2312" w:eastAsia="仿宋_GB2312" w:cstheme="minorBidi"/>
          <w:b w:val="0"/>
          <w:bCs w:val="0"/>
          <w:color w:val="auto"/>
          <w:spacing w:val="0"/>
          <w:kern w:val="0"/>
          <w:sz w:val="32"/>
          <w:szCs w:val="32"/>
          <w:highlight w:val="none"/>
          <w:lang w:val="en-US" w:eastAsia="zh-CN"/>
        </w:rPr>
        <w:t>坚持把“让老百姓过上更好的日子”作为出发点和落脚点</w:t>
      </w:r>
      <w:r>
        <w:rPr>
          <w:rFonts w:hint="eastAsia" w:cstheme="minorBidi"/>
          <w:b w:val="0"/>
          <w:bCs w:val="0"/>
          <w:color w:val="auto"/>
          <w:spacing w:val="0"/>
          <w:kern w:val="0"/>
          <w:sz w:val="32"/>
          <w:szCs w:val="32"/>
          <w:highlight w:val="none"/>
          <w:lang w:val="en-US" w:eastAsia="zh-CN"/>
        </w:rPr>
        <w:t>，</w:t>
      </w:r>
      <w:r>
        <w:rPr>
          <w:rFonts w:hint="eastAsia" w:ascii="仿宋_GB2312" w:hAnsi="仿宋_GB2312" w:eastAsia="仿宋_GB2312" w:cstheme="minorBidi"/>
          <w:b w:val="0"/>
          <w:bCs w:val="0"/>
          <w:color w:val="auto"/>
          <w:spacing w:val="0"/>
          <w:kern w:val="0"/>
          <w:sz w:val="32"/>
          <w:szCs w:val="32"/>
          <w:highlight w:val="none"/>
          <w:lang w:val="en-US" w:eastAsia="zh-CN"/>
        </w:rPr>
        <w:t>民生支出占一般公共预算支出比重持续保持在80%以上，高质量完成每年确定的民生实事。</w:t>
      </w:r>
      <w:r>
        <w:rPr>
          <w:rFonts w:hint="eastAsia" w:ascii="仿宋_GB2312" w:hAnsi="仿宋_GB2312" w:eastAsia="仿宋_GB2312" w:cs="仿宋_GB2312"/>
          <w:b w:val="0"/>
          <w:bCs w:val="0"/>
          <w:color w:val="auto"/>
          <w:szCs w:val="32"/>
          <w:highlight w:val="none"/>
          <w:lang w:val="en-US" w:eastAsia="zh-CN"/>
        </w:rPr>
        <w:t>公共服务提质增效</w:t>
      </w:r>
      <w:r>
        <w:rPr>
          <w:rFonts w:hint="eastAsia" w:cs="仿宋_GB2312"/>
          <w:b w:val="0"/>
          <w:bCs w:val="0"/>
          <w:color w:val="auto"/>
          <w:szCs w:val="32"/>
          <w:highlight w:val="none"/>
          <w:lang w:val="en-US" w:eastAsia="zh-CN"/>
        </w:rPr>
        <w:t>，</w:t>
      </w:r>
      <w:r>
        <w:rPr>
          <w:rFonts w:hint="eastAsia" w:ascii="仿宋_GB2312" w:hAnsi="仿宋_GB2312" w:eastAsia="仿宋_GB2312" w:cs="仿宋_GB2312"/>
          <w:b w:val="0"/>
          <w:bCs w:val="0"/>
          <w:color w:val="auto"/>
          <w:szCs w:val="32"/>
          <w:highlight w:val="none"/>
          <w:lang w:val="en-US" w:eastAsia="zh-CN"/>
        </w:rPr>
        <w:t>着力破解教育资源供需矛盾，</w:t>
      </w:r>
      <w:r>
        <w:rPr>
          <w:rFonts w:hint="eastAsia" w:ascii="仿宋_GB2312" w:hAnsi="仿宋_GB2312" w:eastAsia="仿宋_GB2312" w:cstheme="minorBidi"/>
          <w:b w:val="0"/>
          <w:bCs w:val="0"/>
          <w:color w:val="auto"/>
          <w:spacing w:val="0"/>
          <w:kern w:val="0"/>
          <w:sz w:val="32"/>
          <w:szCs w:val="32"/>
          <w:highlight w:val="none"/>
          <w:lang w:val="en-US" w:eastAsia="zh-CN"/>
        </w:rPr>
        <w:t>永康街中学、滨湖实验学校等一批教育项目建成投用，</w:t>
      </w:r>
      <w:r>
        <w:rPr>
          <w:rFonts w:hint="eastAsia" w:ascii="仿宋_GB2312" w:hAnsi="仿宋_GB2312" w:eastAsia="仿宋_GB2312" w:cs="仿宋_GB2312"/>
          <w:b w:val="0"/>
          <w:bCs w:val="0"/>
          <w:color w:val="auto"/>
          <w:szCs w:val="32"/>
          <w:highlight w:val="none"/>
          <w:lang w:val="en-US" w:eastAsia="zh-CN"/>
        </w:rPr>
        <w:t>新增优质学位1.26万个，山东艺术设计职业学院即将建成交付，填补了济阳</w:t>
      </w:r>
      <w:r>
        <w:rPr>
          <w:rFonts w:hint="eastAsia" w:cs="仿宋_GB2312"/>
          <w:b w:val="0"/>
          <w:bCs w:val="0"/>
          <w:color w:val="auto"/>
          <w:szCs w:val="32"/>
          <w:highlight w:val="none"/>
          <w:lang w:val="en-US" w:eastAsia="zh-CN"/>
        </w:rPr>
        <w:t>区</w:t>
      </w:r>
      <w:r>
        <w:rPr>
          <w:rFonts w:hint="eastAsia" w:ascii="仿宋_GB2312" w:hAnsi="仿宋_GB2312" w:eastAsia="仿宋_GB2312" w:cs="仿宋_GB2312"/>
          <w:b w:val="0"/>
          <w:bCs w:val="0"/>
          <w:color w:val="auto"/>
          <w:szCs w:val="32"/>
          <w:highlight w:val="none"/>
          <w:lang w:val="en-US" w:eastAsia="zh-CN"/>
        </w:rPr>
        <w:t>高职教育空白。深化医疗卫生体系建设，</w:t>
      </w:r>
      <w:r>
        <w:rPr>
          <w:rFonts w:hint="eastAsia" w:ascii="仿宋_GB2312" w:hAnsi="仿宋_GB2312" w:eastAsia="仿宋_GB2312" w:cstheme="minorBidi"/>
          <w:b w:val="0"/>
          <w:bCs w:val="0"/>
          <w:color w:val="auto"/>
          <w:spacing w:val="0"/>
          <w:kern w:val="0"/>
          <w:sz w:val="32"/>
          <w:szCs w:val="32"/>
          <w:highlight w:val="none"/>
          <w:lang w:val="en-US" w:eastAsia="zh-CN"/>
        </w:rPr>
        <w:t>完成区人民医院医养楼、区精神卫生中心病房楼建设，</w:t>
      </w:r>
      <w:r>
        <w:rPr>
          <w:rFonts w:hint="eastAsia" w:ascii="仿宋_GB2312" w:hAnsi="仿宋_GB2312" w:eastAsia="仿宋_GB2312" w:cs="仿宋_GB2312"/>
          <w:b w:val="0"/>
          <w:bCs w:val="0"/>
          <w:color w:val="auto"/>
          <w:szCs w:val="32"/>
          <w:highlight w:val="none"/>
          <w:lang w:val="en-US" w:eastAsia="zh-CN"/>
        </w:rPr>
        <w:t>县域医共体设备更新项目获批启动，济阳区获评“全国优秀健康示范区”</w:t>
      </w:r>
      <w:r>
        <w:rPr>
          <w:rFonts w:hint="eastAsia" w:cs="仿宋_GB2312"/>
          <w:b w:val="0"/>
          <w:bCs w:val="0"/>
          <w:color w:val="auto"/>
          <w:szCs w:val="32"/>
          <w:highlight w:val="none"/>
          <w:lang w:val="en-US" w:eastAsia="zh-CN"/>
        </w:rPr>
        <w:t>，</w:t>
      </w:r>
      <w:r>
        <w:rPr>
          <w:rFonts w:hint="eastAsia" w:ascii="仿宋_GB2312" w:hAnsi="仿宋_GB2312" w:eastAsia="仿宋_GB2312" w:cs="仿宋_GB2312"/>
          <w:b w:val="0"/>
          <w:bCs w:val="0"/>
          <w:color w:val="auto"/>
          <w:szCs w:val="32"/>
          <w:highlight w:val="none"/>
          <w:lang w:val="en-US" w:eastAsia="zh-CN"/>
        </w:rPr>
        <w:t>“县域医改成效差异化评价指标”获全省第一，群众看病就医更便捷、更舒心。社会保障不断加固</w:t>
      </w:r>
      <w:r>
        <w:rPr>
          <w:rFonts w:hint="eastAsia" w:cs="仿宋_GB2312"/>
          <w:b w:val="0"/>
          <w:bCs w:val="0"/>
          <w:color w:val="auto"/>
          <w:szCs w:val="32"/>
          <w:highlight w:val="none"/>
          <w:lang w:val="en-US" w:eastAsia="zh-CN"/>
        </w:rPr>
        <w:t>，</w:t>
      </w:r>
      <w:r>
        <w:rPr>
          <w:rFonts w:hint="eastAsia" w:ascii="仿宋_GB2312" w:hAnsi="仿宋_GB2312" w:eastAsia="仿宋_GB2312" w:cs="仿宋_GB2312"/>
          <w:b w:val="0"/>
          <w:bCs w:val="0"/>
          <w:color w:val="auto"/>
          <w:szCs w:val="32"/>
          <w:highlight w:val="none"/>
          <w:lang w:val="en-US" w:eastAsia="zh-CN"/>
        </w:rPr>
        <w:t>构建城乡全覆盖养老服务体系，</w:t>
      </w:r>
      <w:r>
        <w:rPr>
          <w:rFonts w:hint="eastAsia" w:ascii="仿宋_GB2312" w:hAnsi="仿宋_GB2312" w:eastAsia="仿宋_GB2312" w:cstheme="minorBidi"/>
          <w:b w:val="0"/>
          <w:bCs w:val="0"/>
          <w:color w:val="auto"/>
          <w:spacing w:val="0"/>
          <w:kern w:val="0"/>
          <w:sz w:val="32"/>
          <w:szCs w:val="32"/>
          <w:highlight w:val="none"/>
          <w:lang w:val="en-US" w:eastAsia="zh-CN"/>
        </w:rPr>
        <w:t>建成启用区养老服务中心，</w:t>
      </w:r>
      <w:r>
        <w:rPr>
          <w:rFonts w:hint="eastAsia" w:ascii="仿宋_GB2312" w:hAnsi="宋体" w:eastAsia="仿宋_GB2312" w:cs="仿宋_GB2312"/>
          <w:color w:val="auto"/>
          <w:kern w:val="0"/>
          <w:sz w:val="31"/>
          <w:szCs w:val="31"/>
          <w:highlight w:val="none"/>
          <w:lang w:val="en-US" w:eastAsia="zh-CN" w:bidi="ar"/>
        </w:rPr>
        <w:t>6</w:t>
      </w:r>
      <w:r>
        <w:rPr>
          <w:rFonts w:ascii="仿宋_GB2312" w:hAnsi="宋体" w:eastAsia="仿宋_GB2312" w:cs="仿宋_GB2312"/>
          <w:color w:val="auto"/>
          <w:kern w:val="0"/>
          <w:sz w:val="31"/>
          <w:szCs w:val="31"/>
          <w:highlight w:val="none"/>
          <w:lang w:val="en-US" w:eastAsia="zh-CN" w:bidi="ar"/>
        </w:rPr>
        <w:t>处</w:t>
      </w:r>
      <w:r>
        <w:rPr>
          <w:rFonts w:hint="eastAsia" w:hAnsi="宋体" w:cs="仿宋_GB2312"/>
          <w:color w:val="auto"/>
          <w:kern w:val="0"/>
          <w:sz w:val="31"/>
          <w:szCs w:val="31"/>
          <w:highlight w:val="none"/>
          <w:lang w:val="en-US" w:eastAsia="zh-CN" w:bidi="ar"/>
        </w:rPr>
        <w:t>街道（镇）</w:t>
      </w:r>
      <w:r>
        <w:rPr>
          <w:rFonts w:ascii="仿宋_GB2312" w:hAnsi="宋体" w:eastAsia="仿宋_GB2312" w:cs="仿宋_GB2312"/>
          <w:color w:val="auto"/>
          <w:kern w:val="0"/>
          <w:sz w:val="31"/>
          <w:szCs w:val="31"/>
          <w:highlight w:val="none"/>
          <w:lang w:val="en-US" w:eastAsia="zh-CN" w:bidi="ar"/>
        </w:rPr>
        <w:t>敬老院全部改造提升达到国家二</w:t>
      </w:r>
      <w:r>
        <w:rPr>
          <w:rFonts w:hint="eastAsia" w:ascii="仿宋_GB2312" w:hAnsi="宋体" w:eastAsia="仿宋_GB2312" w:cs="仿宋_GB2312"/>
          <w:color w:val="auto"/>
          <w:kern w:val="0"/>
          <w:sz w:val="31"/>
          <w:szCs w:val="31"/>
          <w:highlight w:val="none"/>
          <w:lang w:val="en-US" w:eastAsia="zh-CN" w:bidi="ar"/>
        </w:rPr>
        <w:t>级以上养老机构标准</w:t>
      </w:r>
      <w:r>
        <w:rPr>
          <w:rFonts w:hint="eastAsia" w:ascii="仿宋_GB2312" w:hAnsi="仿宋_GB2312" w:eastAsia="仿宋_GB2312" w:cstheme="minorBidi"/>
          <w:b w:val="0"/>
          <w:bCs w:val="0"/>
          <w:color w:val="auto"/>
          <w:spacing w:val="0"/>
          <w:kern w:val="0"/>
          <w:sz w:val="32"/>
          <w:szCs w:val="32"/>
          <w:highlight w:val="none"/>
          <w:lang w:val="en-US" w:eastAsia="zh-CN"/>
        </w:rPr>
        <w:t>，143处农村幸福院、12处城市社区日间照料中心、30处长者助餐示范点投入使用，切实解决老年人“养老难”“吃饭难”问题。</w:t>
      </w:r>
      <w:r>
        <w:rPr>
          <w:rFonts w:hint="eastAsia" w:cstheme="minorBidi"/>
          <w:b w:val="0"/>
          <w:bCs w:val="0"/>
          <w:color w:val="auto"/>
          <w:spacing w:val="0"/>
          <w:kern w:val="0"/>
          <w:sz w:val="32"/>
          <w:szCs w:val="32"/>
          <w:highlight w:val="none"/>
          <w:lang w:val="en-US" w:eastAsia="zh-CN"/>
        </w:rPr>
        <w:t>打造</w:t>
      </w:r>
      <w:r>
        <w:rPr>
          <w:rFonts w:hint="eastAsia" w:ascii="仿宋_GB2312" w:hAnsi="仿宋_GB2312" w:eastAsia="仿宋_GB2312" w:cstheme="minorBidi"/>
          <w:b w:val="0"/>
          <w:bCs w:val="0"/>
          <w:color w:val="auto"/>
          <w:spacing w:val="0"/>
          <w:kern w:val="0"/>
          <w:sz w:val="32"/>
          <w:szCs w:val="32"/>
          <w:highlight w:val="none"/>
          <w:lang w:val="en-US" w:eastAsia="zh-CN"/>
        </w:rPr>
        <w:t>儿童友好公园已完成</w:t>
      </w:r>
      <w:r>
        <w:rPr>
          <w:rFonts w:hint="eastAsia" w:cstheme="minorBidi"/>
          <w:b w:val="0"/>
          <w:bCs w:val="0"/>
          <w:color w:val="auto"/>
          <w:spacing w:val="0"/>
          <w:kern w:val="0"/>
          <w:sz w:val="32"/>
          <w:szCs w:val="32"/>
          <w:highlight w:val="none"/>
          <w:lang w:val="en-US" w:eastAsia="zh-CN"/>
        </w:rPr>
        <w:t>既定</w:t>
      </w:r>
      <w:r>
        <w:rPr>
          <w:rFonts w:hint="eastAsia" w:ascii="仿宋_GB2312" w:hAnsi="仿宋_GB2312" w:eastAsia="仿宋_GB2312" w:cstheme="minorBidi"/>
          <w:b w:val="0"/>
          <w:bCs w:val="0"/>
          <w:color w:val="auto"/>
          <w:spacing w:val="0"/>
          <w:kern w:val="0"/>
          <w:sz w:val="32"/>
          <w:szCs w:val="32"/>
          <w:highlight w:val="none"/>
          <w:lang w:val="en-US" w:eastAsia="zh-CN"/>
        </w:rPr>
        <w:t>任务，儿童友好城区加快建设。</w:t>
      </w:r>
      <w:r>
        <w:rPr>
          <w:rFonts w:hint="eastAsia" w:ascii="仿宋_GB2312" w:hAnsi="仿宋_GB2312" w:eastAsia="仿宋_GB2312" w:cs="仿宋_GB2312"/>
          <w:b w:val="0"/>
          <w:bCs w:val="0"/>
          <w:color w:val="auto"/>
          <w:szCs w:val="32"/>
          <w:highlight w:val="none"/>
          <w:lang w:val="en-US" w:eastAsia="zh-CN"/>
        </w:rPr>
        <w:t>稳步提高社会保障标准，城乡低保、特困人员救助供养等九类保障标准年均提高5%以上，医保</w:t>
      </w:r>
      <w:r>
        <w:rPr>
          <w:rFonts w:hint="eastAsia" w:cs="仿宋_GB2312"/>
          <w:b w:val="0"/>
          <w:bCs w:val="0"/>
          <w:color w:val="auto"/>
          <w:szCs w:val="32"/>
          <w:highlight w:val="none"/>
          <w:lang w:val="en-US" w:eastAsia="zh-CN"/>
        </w:rPr>
        <w:t>跨省异地就医直接结算</w:t>
      </w:r>
      <w:r>
        <w:rPr>
          <w:rFonts w:hint="eastAsia" w:ascii="仿宋_GB2312" w:hAnsi="仿宋_GB2312" w:eastAsia="仿宋_GB2312" w:cs="仿宋_GB2312"/>
          <w:b w:val="0"/>
          <w:bCs w:val="0"/>
          <w:color w:val="auto"/>
          <w:szCs w:val="32"/>
          <w:highlight w:val="none"/>
          <w:lang w:val="en-US" w:eastAsia="zh-CN"/>
        </w:rPr>
        <w:t>率达90%以上，民生保障网越织越密、越扎越牢。群众生活愈发富足</w:t>
      </w:r>
      <w:r>
        <w:rPr>
          <w:rFonts w:hint="eastAsia" w:cs="仿宋_GB2312"/>
          <w:b w:val="0"/>
          <w:bCs w:val="0"/>
          <w:color w:val="auto"/>
          <w:szCs w:val="32"/>
          <w:highlight w:val="none"/>
          <w:lang w:val="en-US" w:eastAsia="zh-CN"/>
        </w:rPr>
        <w:t>，</w:t>
      </w:r>
      <w:r>
        <w:rPr>
          <w:rFonts w:hint="eastAsia" w:ascii="仿宋_GB2312" w:hAnsi="仿宋_GB2312" w:eastAsia="仿宋_GB2312" w:cs="仿宋_GB2312"/>
          <w:b w:val="0"/>
          <w:bCs w:val="0"/>
          <w:color w:val="auto"/>
          <w:szCs w:val="32"/>
          <w:highlight w:val="none"/>
          <w:lang w:val="en-US" w:eastAsia="zh-CN"/>
        </w:rPr>
        <w:t>全力促进就业增收，202</w:t>
      </w:r>
      <w:r>
        <w:rPr>
          <w:rFonts w:hint="eastAsia" w:cs="仿宋_GB2312"/>
          <w:b w:val="0"/>
          <w:bCs w:val="0"/>
          <w:color w:val="auto"/>
          <w:szCs w:val="32"/>
          <w:highlight w:val="none"/>
          <w:lang w:val="en-US" w:eastAsia="zh-CN"/>
        </w:rPr>
        <w:t>5</w:t>
      </w:r>
      <w:r>
        <w:rPr>
          <w:rFonts w:hint="eastAsia" w:ascii="仿宋_GB2312" w:hAnsi="仿宋_GB2312" w:eastAsia="仿宋_GB2312" w:cs="仿宋_GB2312"/>
          <w:b w:val="0"/>
          <w:bCs w:val="0"/>
          <w:color w:val="auto"/>
          <w:szCs w:val="32"/>
          <w:highlight w:val="none"/>
          <w:lang w:val="en-US" w:eastAsia="zh-CN"/>
        </w:rPr>
        <w:t>年全区居民人均可支配收入同比增长</w:t>
      </w:r>
      <w:r>
        <w:rPr>
          <w:rFonts w:hint="eastAsia" w:cs="仿宋_GB2312"/>
          <w:b w:val="0"/>
          <w:bCs w:val="0"/>
          <w:color w:val="auto"/>
          <w:szCs w:val="32"/>
          <w:highlight w:val="none"/>
          <w:lang w:val="en-US" w:eastAsia="zh-CN"/>
        </w:rPr>
        <w:t>5</w:t>
      </w:r>
      <w:r>
        <w:rPr>
          <w:rFonts w:hint="eastAsia" w:ascii="仿宋_GB2312" w:hAnsi="仿宋_GB2312" w:eastAsia="仿宋_GB2312" w:cs="仿宋_GB2312"/>
          <w:b w:val="0"/>
          <w:bCs w:val="0"/>
          <w:color w:val="auto"/>
          <w:szCs w:val="32"/>
          <w:highlight w:val="none"/>
          <w:lang w:val="en-US" w:eastAsia="zh-CN"/>
        </w:rPr>
        <w:t>.6%，增幅稳居全市</w:t>
      </w:r>
      <w:r>
        <w:rPr>
          <w:rFonts w:hint="eastAsia" w:cs="仿宋_GB2312"/>
          <w:b w:val="0"/>
          <w:bCs w:val="0"/>
          <w:color w:val="auto"/>
          <w:szCs w:val="32"/>
          <w:highlight w:val="none"/>
          <w:lang w:val="en-US" w:eastAsia="zh-CN"/>
        </w:rPr>
        <w:t>前列</w:t>
      </w:r>
      <w:r>
        <w:rPr>
          <w:rFonts w:hint="eastAsia" w:ascii="仿宋_GB2312" w:hAnsi="仿宋_GB2312" w:eastAsia="仿宋_GB2312" w:cs="仿宋_GB2312"/>
          <w:b w:val="0"/>
          <w:bCs w:val="0"/>
          <w:color w:val="auto"/>
          <w:szCs w:val="32"/>
          <w:highlight w:val="none"/>
          <w:lang w:val="en-US" w:eastAsia="zh-CN"/>
        </w:rPr>
        <w:t>，群众“钱袋子”越来越鼓。文化惠民活动常态化开展，每年组织文化惠民演出600余场次、放映农村公益电影6800余场次，群众精神文化生活更加丰富多元。</w:t>
      </w:r>
      <w:r>
        <w:rPr>
          <w:rFonts w:hint="eastAsia" w:ascii="仿宋_GB2312" w:hAnsi="仿宋_GB2312" w:eastAsia="仿宋_GB2312" w:cstheme="minorBidi"/>
          <w:b w:val="0"/>
          <w:bCs w:val="0"/>
          <w:color w:val="auto"/>
          <w:spacing w:val="0"/>
          <w:kern w:val="0"/>
          <w:sz w:val="32"/>
          <w:szCs w:val="32"/>
          <w:highlight w:val="none"/>
          <w:lang w:val="en-US" w:eastAsia="zh-CN"/>
        </w:rPr>
        <w:t>严格落实基本殡葬减免政策，开展“减项降费优服务”行动，年均降费100余万元</w:t>
      </w:r>
      <w:r>
        <w:rPr>
          <w:rFonts w:hint="eastAsia" w:cstheme="minorBidi"/>
          <w:b w:val="0"/>
          <w:bCs w:val="0"/>
          <w:color w:val="auto"/>
          <w:spacing w:val="0"/>
          <w:kern w:val="0"/>
          <w:sz w:val="32"/>
          <w:szCs w:val="32"/>
          <w:highlight w:val="none"/>
          <w:lang w:val="en-US" w:eastAsia="zh-CN"/>
        </w:rPr>
        <w:t>。</w:t>
      </w:r>
      <w:r>
        <w:rPr>
          <w:rFonts w:hint="eastAsia" w:ascii="仿宋_GB2312" w:hAnsi="仿宋_GB2312" w:eastAsia="仿宋_GB2312" w:cstheme="minorBidi"/>
          <w:b w:val="0"/>
          <w:bCs w:val="0"/>
          <w:color w:val="auto"/>
          <w:spacing w:val="0"/>
          <w:kern w:val="0"/>
          <w:sz w:val="32"/>
          <w:szCs w:val="32"/>
          <w:highlight w:val="none"/>
          <w:lang w:val="en-US" w:eastAsia="zh-CN"/>
        </w:rPr>
        <w:t>倡树喜事新办、丧事简办、生态节地安葬等文明新风尚</w:t>
      </w:r>
      <w:r>
        <w:rPr>
          <w:rFonts w:hint="eastAsia" w:cstheme="minorBidi"/>
          <w:b w:val="0"/>
          <w:bCs w:val="0"/>
          <w:color w:val="auto"/>
          <w:spacing w:val="0"/>
          <w:kern w:val="0"/>
          <w:sz w:val="32"/>
          <w:szCs w:val="32"/>
          <w:highlight w:val="none"/>
          <w:lang w:val="en-US" w:eastAsia="zh-CN"/>
        </w:rPr>
        <w:t>，</w:t>
      </w:r>
      <w:r>
        <w:rPr>
          <w:rFonts w:hint="eastAsia" w:ascii="仿宋_GB2312" w:hAnsi="仿宋_GB2312" w:eastAsia="仿宋_GB2312" w:cstheme="minorBidi"/>
          <w:b w:val="0"/>
          <w:bCs w:val="0"/>
          <w:color w:val="auto"/>
          <w:spacing w:val="0"/>
          <w:kern w:val="0"/>
          <w:sz w:val="32"/>
          <w:szCs w:val="32"/>
          <w:highlight w:val="none"/>
          <w:lang w:val="en-US" w:eastAsia="zh-CN"/>
        </w:rPr>
        <w:t>人民群众的获得感、幸福感、安全感不断增强。</w:t>
      </w:r>
    </w:p>
    <w:p w14:paraId="3FF6A6E9">
      <w:pPr>
        <w:keepNext w:val="0"/>
        <w:keepLines w:val="0"/>
        <w:pageBreakBefore w:val="0"/>
        <w:widowControl w:val="0"/>
        <w:shd w:val="clear"/>
        <w:kinsoku/>
        <w:wordWrap/>
        <w:overflowPunct w:val="0"/>
        <w:topLinePunct w:val="0"/>
        <w:autoSpaceDE/>
        <w:autoSpaceDN/>
        <w:bidi w:val="0"/>
        <w:adjustRightInd w:val="0"/>
        <w:snapToGrid w:val="0"/>
        <w:spacing w:beforeLines="0" w:afterLines="0" w:line="600" w:lineRule="exact"/>
        <w:ind w:firstLine="640" w:firstLineChars="200"/>
        <w:jc w:val="both"/>
        <w:textAlignment w:val="auto"/>
        <w:outlineLvl w:val="9"/>
        <w:rPr>
          <w:rFonts w:hint="eastAsia" w:ascii="仿宋_GB2312" w:hAnsi="仿宋_GB2312" w:eastAsia="仿宋_GB2312" w:cstheme="minorBidi"/>
          <w:b w:val="0"/>
          <w:bCs w:val="0"/>
          <w:color w:val="auto"/>
          <w:spacing w:val="0"/>
          <w:kern w:val="0"/>
          <w:sz w:val="32"/>
          <w:szCs w:val="32"/>
          <w:highlight w:val="none"/>
          <w:lang w:val="en-US" w:eastAsia="zh-CN"/>
        </w:rPr>
      </w:pPr>
      <w:r>
        <w:rPr>
          <w:rFonts w:hint="eastAsia" w:ascii="楷体_GB2312" w:hAnsi="楷体_GB2312" w:eastAsia="楷体_GB2312" w:cs="楷体_GB2312"/>
          <w:color w:val="auto"/>
          <w:kern w:val="0"/>
          <w:sz w:val="32"/>
          <w:szCs w:val="32"/>
          <w:highlight w:val="none"/>
          <w:lang w:val="en-US" w:eastAsia="zh-CN"/>
        </w:rPr>
        <w:t>（四）改革开放全面深化。</w:t>
      </w:r>
      <w:r>
        <w:rPr>
          <w:rFonts w:hint="eastAsia" w:ascii="仿宋_GB2312" w:hAnsi="仿宋_GB2312" w:eastAsia="仿宋_GB2312" w:cstheme="minorBidi"/>
          <w:b w:val="0"/>
          <w:bCs w:val="0"/>
          <w:color w:val="auto"/>
          <w:spacing w:val="0"/>
          <w:kern w:val="0"/>
          <w:sz w:val="32"/>
          <w:szCs w:val="32"/>
          <w:highlight w:val="none"/>
          <w:lang w:val="en-US" w:eastAsia="zh-CN"/>
        </w:rPr>
        <w:t>政务服务改革持续深化，擦亮“在济阳·济时办”特色政务服务品牌，全区“一件事”办件量超50万件，渠道使用率超90%。推行重点项目“项目管家”全覆盖，在全区范围内大力倡树“围墙外的政府干、围墙内的政府帮”</w:t>
      </w:r>
      <w:r>
        <w:rPr>
          <w:rFonts w:hint="eastAsia" w:cstheme="minorBidi"/>
          <w:b w:val="0"/>
          <w:bCs w:val="0"/>
          <w:color w:val="auto"/>
          <w:spacing w:val="0"/>
          <w:kern w:val="0"/>
          <w:sz w:val="32"/>
          <w:szCs w:val="32"/>
          <w:highlight w:val="none"/>
          <w:lang w:val="en-US" w:eastAsia="zh-CN"/>
        </w:rPr>
        <w:t>的</w:t>
      </w:r>
      <w:r>
        <w:rPr>
          <w:rFonts w:hint="eastAsia" w:ascii="仿宋_GB2312" w:hAnsi="仿宋_GB2312" w:eastAsia="仿宋_GB2312" w:cstheme="minorBidi"/>
          <w:b w:val="0"/>
          <w:bCs w:val="0"/>
          <w:color w:val="auto"/>
          <w:spacing w:val="0"/>
          <w:kern w:val="0"/>
          <w:sz w:val="32"/>
          <w:szCs w:val="32"/>
          <w:highlight w:val="none"/>
          <w:lang w:val="en-US" w:eastAsia="zh-CN"/>
        </w:rPr>
        <w:t>服务理念。率先建成“云勘验”系统，创新打造全市首家“无证明之窗”，实现政务服务事项140项“跨省通办”。数字政府建设取得突破，成功入选“国家数据直达基层试点”和“山东省数字乡村试点”。要素市场化配置改革成效显著，亩均效益评价和“标准地”改革深入推进，处置批而未供土地9050亩。农业社会化服务改革走在前列，构建“543”农业生产社会化服务联动机制，获批全国农业社会化服务创新试点、全市首家国家现代农业产业园。社会保障集成服务创新实践获国家级、省级媒体刊发推广，入选市级干部培训典型案例。海峡两岸产业合作区建设经验被《山东改革专报》刊发并上报中央改革办，一批可复制推广的改革成果加速形成。</w:t>
      </w:r>
    </w:p>
    <w:p w14:paraId="5E670BCF">
      <w:pPr>
        <w:keepNext w:val="0"/>
        <w:keepLines w:val="0"/>
        <w:pageBreakBefore w:val="0"/>
        <w:widowControl w:val="0"/>
        <w:shd w:val="clear"/>
        <w:kinsoku/>
        <w:wordWrap/>
        <w:overflowPunct w:val="0"/>
        <w:topLinePunct w:val="0"/>
        <w:autoSpaceDE/>
        <w:autoSpaceDN/>
        <w:bidi w:val="0"/>
        <w:adjustRightInd w:val="0"/>
        <w:snapToGrid w:val="0"/>
        <w:spacing w:beforeLines="0" w:afterLines="0" w:line="600" w:lineRule="exact"/>
        <w:ind w:firstLine="640" w:firstLineChars="200"/>
        <w:jc w:val="both"/>
        <w:textAlignment w:val="auto"/>
        <w:outlineLvl w:val="9"/>
        <w:rPr>
          <w:rFonts w:hint="eastAsia" w:ascii="仿宋_GB2312" w:hAnsi="仿宋_GB2312" w:eastAsia="仿宋_GB2312" w:cstheme="minorBidi"/>
          <w:b w:val="0"/>
          <w:bCs w:val="0"/>
          <w:color w:val="auto"/>
          <w:spacing w:val="0"/>
          <w:kern w:val="0"/>
          <w:sz w:val="32"/>
          <w:szCs w:val="32"/>
          <w:highlight w:val="none"/>
          <w:lang w:val="en-US" w:eastAsia="zh-CN"/>
        </w:rPr>
      </w:pPr>
      <w:r>
        <w:rPr>
          <w:rFonts w:hint="eastAsia" w:ascii="楷体_GB2312" w:hAnsi="楷体_GB2312" w:eastAsia="楷体_GB2312" w:cs="楷体_GB2312"/>
          <w:color w:val="auto"/>
          <w:kern w:val="0"/>
          <w:sz w:val="32"/>
          <w:szCs w:val="32"/>
          <w:highlight w:val="none"/>
          <w:lang w:val="en-US" w:eastAsia="zh-CN"/>
        </w:rPr>
        <w:t>（五）生态环境显著改善。</w:t>
      </w:r>
      <w:r>
        <w:rPr>
          <w:rFonts w:hint="eastAsia" w:ascii="仿宋_GB2312" w:hAnsi="仿宋_GB2312" w:eastAsia="仿宋_GB2312" w:cs="仿宋_GB2312"/>
          <w:color w:val="auto"/>
          <w:sz w:val="32"/>
          <w:szCs w:val="32"/>
          <w:highlight w:val="none"/>
          <w:lang w:val="en-US" w:eastAsia="zh-CN"/>
        </w:rPr>
        <w:t>黄</w:t>
      </w:r>
      <w:r>
        <w:rPr>
          <w:rFonts w:hint="eastAsia" w:ascii="仿宋_GB2312" w:hAnsi="仿宋_GB2312" w:eastAsia="仿宋_GB2312" w:cs="仿宋_GB2312"/>
          <w:b w:val="0"/>
          <w:bCs w:val="0"/>
          <w:color w:val="auto"/>
          <w:sz w:val="32"/>
          <w:szCs w:val="32"/>
          <w:highlight w:val="none"/>
          <w:lang w:val="en-US" w:eastAsia="zh-CN"/>
        </w:rPr>
        <w:t>河流域生态保护和高质量发展战略扎实推进，黄河济阳段成功创建国家级美丽河湖，济阳区成功创建全国节水型社会建设达标县（区），</w:t>
      </w:r>
      <w:r>
        <w:rPr>
          <w:rFonts w:hint="eastAsia" w:ascii="仿宋_GB2312" w:hAnsi="仿宋_GB2312" w:eastAsia="仿宋_GB2312" w:cstheme="minorBidi"/>
          <w:b w:val="0"/>
          <w:bCs w:val="0"/>
          <w:color w:val="auto"/>
          <w:spacing w:val="0"/>
          <w:kern w:val="0"/>
          <w:sz w:val="32"/>
          <w:szCs w:val="32"/>
          <w:highlight w:val="none"/>
          <w:lang w:val="en-US" w:eastAsia="zh-CN"/>
        </w:rPr>
        <w:t>高标准建设12公里沿黄生态廊道，串联生态观光、农事体验、非遗研学等多元场景</w:t>
      </w:r>
      <w:r>
        <w:rPr>
          <w:rFonts w:hint="eastAsia" w:cstheme="minorBidi"/>
          <w:b w:val="0"/>
          <w:bCs w:val="0"/>
          <w:color w:val="auto"/>
          <w:spacing w:val="0"/>
          <w:kern w:val="0"/>
          <w:sz w:val="32"/>
          <w:szCs w:val="32"/>
          <w:highlight w:val="none"/>
          <w:lang w:val="en-US" w:eastAsia="zh-CN"/>
        </w:rPr>
        <w:t>；</w:t>
      </w:r>
      <w:r>
        <w:rPr>
          <w:rFonts w:hint="eastAsia" w:ascii="仿宋_GB2312" w:hAnsi="仿宋_GB2312" w:eastAsia="仿宋_GB2312" w:cstheme="minorBidi"/>
          <w:b w:val="0"/>
          <w:bCs w:val="0"/>
          <w:color w:val="auto"/>
          <w:spacing w:val="0"/>
          <w:kern w:val="0"/>
          <w:sz w:val="32"/>
          <w:szCs w:val="32"/>
          <w:highlight w:val="none"/>
          <w:lang w:val="en-US" w:eastAsia="zh-CN"/>
        </w:rPr>
        <w:t>累计推出“研学游”“工业游”“乡村游”“节会游”等旅游产品10余款，生态资源与文旅产业深度融合，“品味四季</w:t>
      </w:r>
      <w:r>
        <w:rPr>
          <w:rFonts w:hint="eastAsia" w:cstheme="minorBidi"/>
          <w:b w:val="0"/>
          <w:bCs w:val="0"/>
          <w:color w:val="auto"/>
          <w:spacing w:val="0"/>
          <w:kern w:val="0"/>
          <w:sz w:val="32"/>
          <w:szCs w:val="32"/>
          <w:highlight w:val="none"/>
          <w:lang w:val="en-US" w:eastAsia="zh-CN"/>
        </w:rPr>
        <w:t xml:space="preserve"> </w:t>
      </w:r>
      <w:r>
        <w:rPr>
          <w:rFonts w:hint="eastAsia" w:ascii="仿宋_GB2312" w:hAnsi="仿宋_GB2312" w:eastAsia="仿宋_GB2312" w:cstheme="minorBidi"/>
          <w:b w:val="0"/>
          <w:bCs w:val="0"/>
          <w:color w:val="auto"/>
          <w:spacing w:val="0"/>
          <w:kern w:val="0"/>
          <w:sz w:val="32"/>
          <w:szCs w:val="32"/>
          <w:highlight w:val="none"/>
          <w:lang w:val="en-US" w:eastAsia="zh-CN"/>
        </w:rPr>
        <w:t>乐享济阳”旅游品牌不断叫响，实现“生态美”与“经济兴”的双向奔赴。深入打好大气、水、土壤污染防治三大攻坚战，扎实推进生态绿化建设，市控以上重点河流断面水质均</w:t>
      </w:r>
      <w:r>
        <w:rPr>
          <w:rFonts w:hint="eastAsia" w:ascii="仿宋_GB2312" w:hAnsi="仿宋_GB2312" w:eastAsia="仿宋_GB2312" w:cs="仿宋_GB2312"/>
          <w:b w:val="0"/>
          <w:bCs w:val="0"/>
          <w:color w:val="auto"/>
          <w:sz w:val="32"/>
          <w:szCs w:val="32"/>
          <w:highlight w:val="none"/>
          <w:lang w:val="en-US" w:eastAsia="zh-CN"/>
        </w:rPr>
        <w:t>达到水质目标要求，成功创建省级美丽幸福河湖6条（段），数量居全市区县第</w:t>
      </w:r>
      <w:r>
        <w:rPr>
          <w:rFonts w:hint="eastAsia" w:ascii="仿宋_GB2312" w:hAnsi="仿宋_GB2312" w:eastAsia="仿宋_GB2312" w:cstheme="minorBidi"/>
          <w:color w:val="auto"/>
          <w:kern w:val="0"/>
          <w:sz w:val="32"/>
          <w:szCs w:val="32"/>
          <w:highlight w:val="none"/>
          <w:lang w:val="en-US" w:eastAsia="zh-CN"/>
        </w:rPr>
        <w:t>一名</w:t>
      </w:r>
      <w:r>
        <w:rPr>
          <w:rFonts w:hint="eastAsia" w:cstheme="minorBidi"/>
          <w:color w:val="auto"/>
          <w:kern w:val="0"/>
          <w:sz w:val="32"/>
          <w:szCs w:val="32"/>
          <w:highlight w:val="none"/>
          <w:lang w:val="en-US" w:eastAsia="zh-CN"/>
        </w:rPr>
        <w:t>。</w:t>
      </w:r>
      <w:r>
        <w:rPr>
          <w:rFonts w:hint="eastAsia" w:ascii="仿宋_GB2312" w:hAnsi="仿宋_GB2312" w:eastAsia="仿宋_GB2312" w:cstheme="minorBidi"/>
          <w:color w:val="auto"/>
          <w:kern w:val="0"/>
          <w:sz w:val="32"/>
          <w:szCs w:val="32"/>
          <w:highlight w:val="none"/>
          <w:lang w:val="en-US" w:eastAsia="zh-CN"/>
        </w:rPr>
        <w:t>土壤环境质量保持良好，污染</w:t>
      </w:r>
      <w:r>
        <w:rPr>
          <w:rFonts w:hint="eastAsia" w:ascii="仿宋_GB2312" w:hAnsi="仿宋_GB2312" w:eastAsia="仿宋_GB2312" w:cs="仿宋_GB2312"/>
          <w:b w:val="0"/>
          <w:bCs w:val="0"/>
          <w:color w:val="auto"/>
          <w:sz w:val="32"/>
          <w:szCs w:val="32"/>
          <w:highlight w:val="none"/>
          <w:lang w:val="en-US" w:eastAsia="zh-CN"/>
        </w:rPr>
        <w:t>地块实现动态清零，</w:t>
      </w:r>
      <w:r>
        <w:rPr>
          <w:rFonts w:hint="eastAsia" w:ascii="仿宋_GB2312" w:hAnsi="仿宋_GB2312" w:eastAsia="仿宋_GB2312" w:cstheme="minorBidi"/>
          <w:b w:val="0"/>
          <w:bCs w:val="0"/>
          <w:color w:val="auto"/>
          <w:spacing w:val="0"/>
          <w:kern w:val="0"/>
          <w:sz w:val="32"/>
          <w:szCs w:val="32"/>
          <w:highlight w:val="none"/>
          <w:lang w:val="en-US" w:eastAsia="zh-CN"/>
        </w:rPr>
        <w:t>建设用地安全利用率指标持续保持在100%，济阳区</w:t>
      </w:r>
      <w:r>
        <w:rPr>
          <w:rFonts w:hint="eastAsia" w:ascii="仿宋_GB2312" w:hAnsi="仿宋_GB2312" w:eastAsia="仿宋_GB2312" w:cs="仿宋_GB2312"/>
          <w:b w:val="0"/>
          <w:bCs w:val="0"/>
          <w:color w:val="auto"/>
          <w:sz w:val="32"/>
          <w:szCs w:val="32"/>
          <w:highlight w:val="none"/>
          <w:lang w:val="en-US" w:eastAsia="zh-CN"/>
        </w:rPr>
        <w:t>成功获评省级耕地保护激励区</w:t>
      </w:r>
      <w:r>
        <w:rPr>
          <w:rFonts w:hint="eastAsia" w:cs="仿宋_GB2312"/>
          <w:b w:val="0"/>
          <w:bCs w:val="0"/>
          <w:color w:val="auto"/>
          <w:sz w:val="32"/>
          <w:szCs w:val="32"/>
          <w:highlight w:val="none"/>
          <w:lang w:val="en-US" w:eastAsia="zh-CN"/>
        </w:rPr>
        <w:t>县</w:t>
      </w:r>
      <w:r>
        <w:rPr>
          <w:rFonts w:hint="eastAsia" w:ascii="仿宋_GB2312" w:hAnsi="仿宋_GB2312" w:eastAsia="仿宋_GB2312" w:cstheme="minorBidi"/>
          <w:b w:val="0"/>
          <w:bCs w:val="0"/>
          <w:color w:val="auto"/>
          <w:spacing w:val="0"/>
          <w:kern w:val="0"/>
          <w:sz w:val="32"/>
          <w:szCs w:val="32"/>
          <w:highlight w:val="none"/>
          <w:lang w:val="en-US" w:eastAsia="zh-CN"/>
        </w:rPr>
        <w:t>。绿色转型提速，赋能产业可持续发展</w:t>
      </w:r>
      <w:r>
        <w:rPr>
          <w:rFonts w:hint="eastAsia" w:cstheme="minorBidi"/>
          <w:b w:val="0"/>
          <w:bCs w:val="0"/>
          <w:color w:val="auto"/>
          <w:spacing w:val="0"/>
          <w:kern w:val="0"/>
          <w:sz w:val="32"/>
          <w:szCs w:val="32"/>
          <w:highlight w:val="none"/>
          <w:lang w:val="en-US" w:eastAsia="zh-CN"/>
        </w:rPr>
        <w:t>，</w:t>
      </w:r>
      <w:r>
        <w:rPr>
          <w:rFonts w:hint="eastAsia" w:ascii="仿宋_GB2312" w:hAnsi="仿宋_GB2312" w:eastAsia="仿宋_GB2312" w:cstheme="minorBidi"/>
          <w:b w:val="0"/>
          <w:bCs w:val="0"/>
          <w:color w:val="auto"/>
          <w:spacing w:val="0"/>
          <w:kern w:val="0"/>
          <w:sz w:val="32"/>
          <w:szCs w:val="32"/>
          <w:highlight w:val="none"/>
          <w:lang w:val="en-US" w:eastAsia="zh-CN"/>
        </w:rPr>
        <w:t>大力实施“千项技改、千企转型”工程，引导企业开展节能降耗、绿色生产改造，新认定省级绿色工厂2家、市级绿色工厂19家，</w:t>
      </w:r>
      <w:r>
        <w:rPr>
          <w:rFonts w:hint="eastAsia" w:cs="仿宋_GB2312"/>
          <w:b w:val="0"/>
          <w:bCs w:val="0"/>
          <w:color w:val="auto"/>
          <w:szCs w:val="32"/>
          <w:highlight w:val="none"/>
          <w:lang w:val="en-US" w:eastAsia="zh-CN"/>
        </w:rPr>
        <w:t>山东</w:t>
      </w:r>
      <w:r>
        <w:rPr>
          <w:rFonts w:hint="eastAsia" w:ascii="仿宋_GB2312" w:hAnsi="仿宋_GB2312" w:eastAsia="仿宋_GB2312" w:cs="仿宋_GB2312"/>
          <w:b w:val="0"/>
          <w:bCs w:val="0"/>
          <w:color w:val="auto"/>
          <w:szCs w:val="32"/>
          <w:highlight w:val="none"/>
          <w:lang w:eastAsia="zh-CN"/>
        </w:rPr>
        <w:t>济北经济开发区</w:t>
      </w:r>
      <w:r>
        <w:rPr>
          <w:rFonts w:hint="eastAsia" w:ascii="仿宋_GB2312" w:hAnsi="仿宋_GB2312" w:eastAsia="仿宋_GB2312" w:cstheme="minorBidi"/>
          <w:b w:val="0"/>
          <w:bCs w:val="0"/>
          <w:color w:val="auto"/>
          <w:spacing w:val="0"/>
          <w:kern w:val="0"/>
          <w:sz w:val="32"/>
          <w:szCs w:val="32"/>
          <w:highlight w:val="none"/>
          <w:lang w:val="en-US" w:eastAsia="zh-CN"/>
        </w:rPr>
        <w:t>成功获评山东省“无废园区”、山东省绿色工业园区。</w:t>
      </w:r>
      <w:r>
        <w:rPr>
          <w:rFonts w:hint="eastAsia" w:ascii="仿宋_GB2312" w:eastAsia="仿宋_GB2312"/>
          <w:color w:val="auto"/>
          <w:sz w:val="32"/>
          <w:szCs w:val="32"/>
          <w:highlight w:val="none"/>
          <w:lang w:val="en-US" w:eastAsia="zh-CN"/>
        </w:rPr>
        <w:t>5万千瓦背压机组项目投入运营，破解工业蒸汽不足问题，34.5万千瓦集中式风电项目并网，全区可再生能源装机达69万千瓦。</w:t>
      </w:r>
      <w:r>
        <w:rPr>
          <w:rFonts w:hint="eastAsia" w:ascii="仿宋_GB2312" w:hAnsi="仿宋_GB2312" w:eastAsia="仿宋_GB2312" w:cstheme="minorBidi"/>
          <w:color w:val="auto"/>
          <w:kern w:val="0"/>
          <w:sz w:val="32"/>
          <w:szCs w:val="32"/>
          <w:highlight w:val="none"/>
          <w:lang w:val="en-US" w:eastAsia="zh-CN"/>
        </w:rPr>
        <w:t>环保基础设施持续完善，第二污水处理厂、曲堤水质净化厂建成投用，第一污水处理厂完成提标扩容，完成市政管网和箱涵等排水系统清淤和修复约285公里，污水收集处理能力明显增强</w:t>
      </w:r>
      <w:r>
        <w:rPr>
          <w:rFonts w:hint="eastAsia" w:cstheme="minorBidi"/>
          <w:color w:val="auto"/>
          <w:kern w:val="0"/>
          <w:sz w:val="32"/>
          <w:szCs w:val="32"/>
          <w:highlight w:val="none"/>
          <w:lang w:val="en-US" w:eastAsia="zh-CN"/>
        </w:rPr>
        <w:t>，绿色发展底色持续擦亮，济阳区获评</w:t>
      </w:r>
      <w:r>
        <w:rPr>
          <w:rFonts w:hint="eastAsia" w:ascii="仿宋_GB2312" w:hAnsi="仿宋_GB2312" w:eastAsia="仿宋_GB2312" w:cstheme="minorBidi"/>
          <w:b w:val="0"/>
          <w:bCs w:val="0"/>
          <w:color w:val="auto"/>
          <w:spacing w:val="0"/>
          <w:kern w:val="0"/>
          <w:sz w:val="32"/>
          <w:szCs w:val="32"/>
          <w:highlight w:val="none"/>
          <w:lang w:val="en-US" w:eastAsia="zh-CN"/>
        </w:rPr>
        <w:t>国家生态文明建设示范区</w:t>
      </w:r>
      <w:r>
        <w:rPr>
          <w:rFonts w:hint="eastAsia" w:cstheme="minorBidi"/>
          <w:b w:val="0"/>
          <w:bCs w:val="0"/>
          <w:color w:val="auto"/>
          <w:spacing w:val="0"/>
          <w:kern w:val="0"/>
          <w:sz w:val="32"/>
          <w:szCs w:val="32"/>
          <w:highlight w:val="none"/>
          <w:lang w:val="en-US" w:eastAsia="zh-CN"/>
        </w:rPr>
        <w:t>。</w:t>
      </w:r>
    </w:p>
    <w:p w14:paraId="4DD785DD">
      <w:pPr>
        <w:keepNext w:val="0"/>
        <w:keepLines w:val="0"/>
        <w:pageBreakBefore w:val="0"/>
        <w:widowControl w:val="0"/>
        <w:shd w:val="clear"/>
        <w:kinsoku/>
        <w:wordWrap/>
        <w:overflowPunct w:val="0"/>
        <w:topLinePunct w:val="0"/>
        <w:autoSpaceDE/>
        <w:autoSpaceDN/>
        <w:bidi w:val="0"/>
        <w:adjustRightInd w:val="0"/>
        <w:snapToGrid w:val="0"/>
        <w:spacing w:beforeLines="0" w:afterLines="0" w:line="600" w:lineRule="exact"/>
        <w:ind w:firstLine="640" w:firstLineChars="200"/>
        <w:textAlignment w:val="auto"/>
        <w:outlineLvl w:val="9"/>
        <w:rPr>
          <w:rFonts w:hint="eastAsia" w:ascii="仿宋_GB2312" w:hAnsi="仿宋_GB2312" w:eastAsia="仿宋_GB2312"/>
          <w:b w:val="0"/>
          <w:bCs w:val="0"/>
          <w:color w:val="auto"/>
          <w:spacing w:val="0"/>
          <w:kern w:val="0"/>
          <w:sz w:val="32"/>
          <w:szCs w:val="32"/>
          <w:highlight w:val="none"/>
          <w:lang w:val="en-US" w:eastAsia="zh-CN"/>
        </w:rPr>
      </w:pPr>
      <w:r>
        <w:rPr>
          <w:rFonts w:hint="eastAsia" w:ascii="楷体_GB2312" w:hAnsi="楷体_GB2312" w:eastAsia="楷体_GB2312" w:cs="楷体_GB2312"/>
          <w:b w:val="0"/>
          <w:bCs w:val="0"/>
          <w:color w:val="auto"/>
          <w:spacing w:val="0"/>
          <w:kern w:val="0"/>
          <w:sz w:val="32"/>
          <w:szCs w:val="32"/>
          <w:highlight w:val="none"/>
          <w:lang w:val="en-US" w:eastAsia="zh-CN"/>
        </w:rPr>
        <w:t>（六）社会保持和谐稳定。</w:t>
      </w:r>
      <w:r>
        <w:rPr>
          <w:rFonts w:hint="eastAsia" w:ascii="仿宋_GB2312" w:hAnsi="仿宋_GB2312" w:eastAsia="仿宋_GB2312" w:cstheme="minorBidi"/>
          <w:b w:val="0"/>
          <w:bCs w:val="0"/>
          <w:color w:val="auto"/>
          <w:spacing w:val="0"/>
          <w:kern w:val="0"/>
          <w:sz w:val="32"/>
          <w:szCs w:val="32"/>
          <w:highlight w:val="none"/>
          <w:lang w:val="en-US" w:eastAsia="zh-CN"/>
        </w:rPr>
        <w:t>坚持和发展新时代“枫桥经验”“浦江经验”，法治建设向纵深推进，普法宣传教育走深走实，群众诉求“接诉即办”机制高效运转，韶润宪法主题公园成功获评“山东省法治宣传教育示范基地”，全民法治素养和社会治理法治化水平持续提升。扎实开展“守牢底线”攻坚行动，健全涉民生领域舆情风险隐患台账，强化矛盾纠纷源头预防、前端化解，初信初访一次性化解率和群众满意率实现“双提升”。深入实施安全生产治本攻坚三年行动，基层应急救援力量全面加强，“审计式”监督检查精准发力，安全生产形势持续稳定向好。纵深推进“保民安·悦民心”主题行动，连续15年保持命案全破，刑事、治安警情实现“双下降”，破案率、警种办案率位居全市首位，人民群众安全感、满意度显著增强</w:t>
      </w:r>
      <w:r>
        <w:rPr>
          <w:rFonts w:hint="eastAsia" w:ascii="仿宋_GB2312" w:hAnsi="仿宋_GB2312" w:eastAsia="仿宋_GB2312"/>
          <w:b w:val="0"/>
          <w:bCs w:val="0"/>
          <w:color w:val="auto"/>
          <w:spacing w:val="0"/>
          <w:kern w:val="0"/>
          <w:sz w:val="32"/>
          <w:szCs w:val="32"/>
          <w:highlight w:val="none"/>
          <w:lang w:val="en-US" w:eastAsia="zh-CN"/>
        </w:rPr>
        <w:t>。</w:t>
      </w:r>
      <w:bookmarkStart w:id="12" w:name="_Toc5430"/>
      <w:bookmarkStart w:id="13" w:name="_Toc14896"/>
      <w:bookmarkStart w:id="14" w:name="_Toc13695"/>
      <w:bookmarkStart w:id="15" w:name="_Toc15027"/>
      <w:bookmarkStart w:id="16" w:name="_Toc25444"/>
      <w:bookmarkStart w:id="17" w:name="_Toc31975"/>
    </w:p>
    <w:p w14:paraId="46DBC33D">
      <w:pPr>
        <w:pStyle w:val="3"/>
        <w:keepNext w:val="0"/>
        <w:keepLines w:val="0"/>
        <w:pageBreakBefore w:val="0"/>
        <w:widowControl w:val="0"/>
        <w:shd w:val="clear"/>
        <w:kinsoku/>
        <w:wordWrap/>
        <w:topLinePunct w:val="0"/>
        <w:autoSpaceDE/>
        <w:autoSpaceDN/>
        <w:bidi w:val="0"/>
        <w:spacing w:beforeLines="0" w:afterLines="0" w:line="600" w:lineRule="exact"/>
        <w:ind w:firstLine="640" w:firstLineChars="200"/>
        <w:jc w:val="both"/>
        <w:textAlignment w:val="auto"/>
        <w:rPr>
          <w:rFonts w:hint="default" w:ascii="黑体" w:hAnsi="黑体" w:eastAsia="黑体" w:cs="黑体"/>
          <w:color w:val="auto"/>
          <w:spacing w:val="0"/>
          <w:sz w:val="32"/>
          <w:highlight w:val="none"/>
          <w:lang w:val="en-US" w:eastAsia="zh-CN"/>
        </w:rPr>
      </w:pPr>
      <w:bookmarkStart w:id="18" w:name="_Toc3663"/>
      <w:r>
        <w:rPr>
          <w:rFonts w:hint="eastAsia" w:ascii="黑体" w:hAnsi="黑体" w:eastAsia="黑体" w:cs="黑体"/>
          <w:color w:val="auto"/>
          <w:spacing w:val="0"/>
          <w:sz w:val="32"/>
          <w:highlight w:val="none"/>
          <w:lang w:val="en-US" w:eastAsia="zh-CN"/>
        </w:rPr>
        <w:t>二、形势研判</w:t>
      </w:r>
      <w:bookmarkEnd w:id="12"/>
      <w:bookmarkEnd w:id="13"/>
      <w:bookmarkEnd w:id="14"/>
      <w:bookmarkEnd w:id="15"/>
      <w:bookmarkEnd w:id="16"/>
      <w:bookmarkEnd w:id="17"/>
      <w:bookmarkEnd w:id="18"/>
    </w:p>
    <w:p w14:paraId="7517B3AF">
      <w:pPr>
        <w:pStyle w:val="6"/>
        <w:keepNext w:val="0"/>
        <w:keepLines w:val="0"/>
        <w:pageBreakBefore w:val="0"/>
        <w:shd w:val="clear"/>
        <w:kinsoku/>
        <w:wordWrap/>
        <w:topLinePunct w:val="0"/>
        <w:autoSpaceDE/>
        <w:autoSpaceDN/>
        <w:bidi w:val="0"/>
        <w:spacing w:beforeLines="0" w:after="0"/>
        <w:jc w:val="both"/>
        <w:textAlignment w:val="auto"/>
        <w:rPr>
          <w:rFonts w:hint="default" w:ascii="仿宋_GB2312" w:eastAsia="仿宋_GB2312" w:hAnsiTheme="minorHAnsi" w:cstheme="minorBidi"/>
          <w:color w:val="auto"/>
          <w:kern w:val="2"/>
          <w:sz w:val="32"/>
          <w:szCs w:val="32"/>
          <w:highlight w:val="none"/>
          <w:lang w:val="en-US" w:eastAsia="zh-CN" w:bidi="ar-SA"/>
        </w:rPr>
      </w:pPr>
      <w:r>
        <w:rPr>
          <w:rFonts w:hint="eastAsia" w:ascii="仿宋_GB2312" w:eastAsia="仿宋_GB2312" w:cstheme="minorBidi"/>
          <w:color w:val="auto"/>
          <w:kern w:val="2"/>
          <w:sz w:val="32"/>
          <w:szCs w:val="32"/>
          <w:highlight w:val="none"/>
          <w:lang w:val="en-US" w:eastAsia="zh-CN" w:bidi="ar-SA"/>
        </w:rPr>
        <w:t>“</w:t>
      </w:r>
      <w:r>
        <w:rPr>
          <w:rFonts w:hint="default" w:ascii="仿宋_GB2312" w:eastAsia="仿宋_GB2312" w:hAnsiTheme="minorHAnsi" w:cstheme="minorBidi"/>
          <w:color w:val="auto"/>
          <w:kern w:val="2"/>
          <w:sz w:val="32"/>
          <w:szCs w:val="32"/>
          <w:highlight w:val="none"/>
          <w:lang w:val="en-US" w:eastAsia="zh-CN" w:bidi="ar-SA"/>
        </w:rPr>
        <w:t>十</w:t>
      </w:r>
      <w:r>
        <w:rPr>
          <w:rFonts w:hint="eastAsia" w:ascii="仿宋_GB2312" w:eastAsia="仿宋_GB2312" w:cstheme="minorBidi"/>
          <w:color w:val="auto"/>
          <w:kern w:val="2"/>
          <w:sz w:val="32"/>
          <w:szCs w:val="32"/>
          <w:highlight w:val="none"/>
          <w:lang w:val="en-US" w:eastAsia="zh-CN" w:bidi="ar-SA"/>
        </w:rPr>
        <w:t>五</w:t>
      </w:r>
      <w:r>
        <w:rPr>
          <w:rFonts w:hint="default" w:ascii="仿宋_GB2312" w:eastAsia="仿宋_GB2312" w:hAnsiTheme="minorHAnsi" w:cstheme="minorBidi"/>
          <w:color w:val="auto"/>
          <w:kern w:val="2"/>
          <w:sz w:val="32"/>
          <w:szCs w:val="32"/>
          <w:highlight w:val="none"/>
          <w:lang w:val="en-US" w:eastAsia="zh-CN" w:bidi="ar-SA"/>
        </w:rPr>
        <w:t>五</w:t>
      </w:r>
      <w:r>
        <w:rPr>
          <w:rFonts w:hint="eastAsia" w:ascii="仿宋_GB2312" w:eastAsia="仿宋_GB2312" w:cstheme="minorBidi"/>
          <w:color w:val="auto"/>
          <w:kern w:val="2"/>
          <w:sz w:val="32"/>
          <w:szCs w:val="32"/>
          <w:highlight w:val="none"/>
          <w:lang w:val="en-US" w:eastAsia="zh-CN" w:bidi="ar-SA"/>
        </w:rPr>
        <w:t>”</w:t>
      </w:r>
      <w:r>
        <w:rPr>
          <w:rFonts w:hint="default" w:ascii="仿宋_GB2312" w:eastAsia="仿宋_GB2312" w:hAnsiTheme="minorHAnsi" w:cstheme="minorBidi"/>
          <w:color w:val="auto"/>
          <w:kern w:val="2"/>
          <w:sz w:val="32"/>
          <w:szCs w:val="32"/>
          <w:highlight w:val="none"/>
          <w:lang w:val="en-US" w:eastAsia="zh-CN" w:bidi="ar-SA"/>
        </w:rPr>
        <w:t>时期，</w:t>
      </w:r>
      <w:r>
        <w:rPr>
          <w:rFonts w:hint="eastAsia" w:hAnsiTheme="minorHAnsi" w:cstheme="minorBidi"/>
          <w:color w:val="auto"/>
          <w:kern w:val="2"/>
          <w:sz w:val="32"/>
          <w:szCs w:val="32"/>
          <w:highlight w:val="none"/>
          <w:lang w:val="en-US" w:eastAsia="zh-CN" w:bidi="ar-SA"/>
        </w:rPr>
        <w:t>我区</w:t>
      </w:r>
      <w:r>
        <w:rPr>
          <w:rFonts w:hint="default" w:ascii="仿宋_GB2312" w:eastAsia="仿宋_GB2312" w:hAnsiTheme="minorHAnsi" w:cstheme="minorBidi"/>
          <w:color w:val="auto"/>
          <w:kern w:val="2"/>
          <w:sz w:val="32"/>
          <w:szCs w:val="32"/>
          <w:highlight w:val="none"/>
          <w:lang w:val="en-US" w:eastAsia="zh-CN" w:bidi="ar-SA"/>
        </w:rPr>
        <w:t>发展的外部环境和内部条件都将发生复杂深刻的重大变化。</w:t>
      </w:r>
      <w:r>
        <w:rPr>
          <w:rFonts w:hint="default" w:ascii="仿宋_GB2312" w:eastAsia="仿宋_GB2312" w:hAnsiTheme="minorHAnsi" w:cstheme="minorBidi"/>
          <w:b/>
          <w:bCs/>
          <w:color w:val="auto"/>
          <w:kern w:val="2"/>
          <w:sz w:val="32"/>
          <w:szCs w:val="32"/>
          <w:highlight w:val="none"/>
          <w:lang w:val="en-US" w:eastAsia="zh-CN" w:bidi="ar-SA"/>
        </w:rPr>
        <w:t>从国际看，</w:t>
      </w:r>
      <w:r>
        <w:rPr>
          <w:rFonts w:hint="default" w:ascii="仿宋_GB2312" w:eastAsia="仿宋_GB2312" w:hAnsiTheme="minorHAnsi" w:cstheme="minorBidi"/>
          <w:color w:val="auto"/>
          <w:kern w:val="2"/>
          <w:sz w:val="32"/>
          <w:szCs w:val="32"/>
          <w:highlight w:val="none"/>
          <w:lang w:val="en-US" w:eastAsia="zh-CN" w:bidi="ar-SA"/>
        </w:rPr>
        <w:t>世界百年未有之大变局加速演进，国际力量对比深刻调整，新一轮科技革命和产业变革加速突破，同时世界变乱交织、动荡加剧，地缘冲突易发多发；单边主义、保护主义抬头，霸权主义和强权政治威胁上升，国际经济贸易秩序遇到严峻挑战，大国博弈更加复杂激烈。</w:t>
      </w:r>
      <w:r>
        <w:rPr>
          <w:rFonts w:hint="default" w:ascii="仿宋_GB2312" w:eastAsia="仿宋_GB2312" w:hAnsiTheme="minorHAnsi" w:cstheme="minorBidi"/>
          <w:b/>
          <w:bCs/>
          <w:color w:val="auto"/>
          <w:kern w:val="2"/>
          <w:sz w:val="32"/>
          <w:szCs w:val="32"/>
          <w:highlight w:val="none"/>
          <w:lang w:val="en-US" w:eastAsia="zh-CN" w:bidi="ar-SA"/>
        </w:rPr>
        <w:t>从国内看，</w:t>
      </w:r>
      <w:r>
        <w:rPr>
          <w:rFonts w:hint="default" w:ascii="仿宋_GB2312" w:eastAsia="仿宋_GB2312" w:hAnsiTheme="minorHAnsi" w:cstheme="minorBidi"/>
          <w:color w:val="auto"/>
          <w:kern w:val="2"/>
          <w:sz w:val="32"/>
          <w:szCs w:val="32"/>
          <w:highlight w:val="none"/>
          <w:lang w:val="en-US" w:eastAsia="zh-CN" w:bidi="ar-SA"/>
        </w:rPr>
        <w:t>我国经济基础稳、优势多、韧性强、潜能大，长期向好的支撑条件和基本趋势没有变，中国特色社会主义制度优势、超大规模市场优势、完整产业体系优势、丰富人才资源优势更加彰显，内需主导的新发展格局正加快构建，新质生产力成为高质量发展强引擎，正加速向建成社会主义现代化强国迈进。</w:t>
      </w:r>
      <w:r>
        <w:rPr>
          <w:rFonts w:hint="default" w:ascii="仿宋_GB2312" w:eastAsia="仿宋_GB2312" w:hAnsiTheme="minorHAnsi" w:cstheme="minorBidi"/>
          <w:b/>
          <w:bCs/>
          <w:color w:val="auto"/>
          <w:kern w:val="2"/>
          <w:sz w:val="32"/>
          <w:szCs w:val="32"/>
          <w:highlight w:val="none"/>
          <w:lang w:val="en-US" w:eastAsia="zh-CN" w:bidi="ar-SA"/>
        </w:rPr>
        <w:t>从</w:t>
      </w:r>
      <w:r>
        <w:rPr>
          <w:rFonts w:hint="eastAsia" w:ascii="仿宋_GB2312" w:hAnsiTheme="minorHAnsi" w:cstheme="minorBidi"/>
          <w:b/>
          <w:bCs/>
          <w:color w:val="auto"/>
          <w:kern w:val="2"/>
          <w:sz w:val="32"/>
          <w:szCs w:val="32"/>
          <w:highlight w:val="none"/>
          <w:lang w:val="en-US" w:eastAsia="zh-CN" w:bidi="ar-SA"/>
        </w:rPr>
        <w:t>全省</w:t>
      </w:r>
      <w:r>
        <w:rPr>
          <w:rFonts w:hint="default" w:ascii="仿宋_GB2312" w:eastAsia="仿宋_GB2312" w:hAnsiTheme="minorHAnsi" w:cstheme="minorBidi"/>
          <w:b/>
          <w:bCs/>
          <w:color w:val="auto"/>
          <w:kern w:val="2"/>
          <w:sz w:val="32"/>
          <w:szCs w:val="32"/>
          <w:highlight w:val="none"/>
          <w:lang w:val="en-US" w:eastAsia="zh-CN" w:bidi="ar-SA"/>
        </w:rPr>
        <w:t>看</w:t>
      </w:r>
      <w:r>
        <w:rPr>
          <w:rFonts w:hint="default" w:ascii="仿宋_GB2312" w:eastAsia="仿宋_GB2312" w:hAnsiTheme="minorHAnsi" w:cstheme="minorBidi"/>
          <w:color w:val="auto"/>
          <w:kern w:val="2"/>
          <w:sz w:val="32"/>
          <w:szCs w:val="32"/>
          <w:highlight w:val="none"/>
          <w:lang w:val="en-US" w:eastAsia="zh-CN" w:bidi="ar-SA"/>
        </w:rPr>
        <w:t>，山东省加快推进现代化强省建设，发展位势更加凸显、发展动能更加强劲、发展活力更加充沛、发展支撑更加有力，绿色低碳高质量发展先行区建设积厚成势，打造北方地区经济重要增长极将成势见效。</w:t>
      </w:r>
      <w:r>
        <w:rPr>
          <w:rFonts w:hint="eastAsia" w:ascii="仿宋_GB2312" w:hAnsiTheme="minorHAnsi" w:cstheme="minorBidi"/>
          <w:b/>
          <w:bCs/>
          <w:color w:val="auto"/>
          <w:kern w:val="2"/>
          <w:sz w:val="32"/>
          <w:szCs w:val="32"/>
          <w:highlight w:val="none"/>
          <w:lang w:val="en-US" w:eastAsia="zh-CN" w:bidi="ar-SA"/>
        </w:rPr>
        <w:t>从全市看，</w:t>
      </w:r>
      <w:r>
        <w:rPr>
          <w:rFonts w:hint="eastAsia"/>
          <w:color w:val="auto"/>
          <w:highlight w:val="none"/>
          <w:lang w:val="en-US" w:eastAsia="zh-CN"/>
        </w:rPr>
        <w:t>未来五年是济南加快推进新时代社会主义现代化强省会建设的关键五年，</w:t>
      </w:r>
      <w:r>
        <w:rPr>
          <w:rFonts w:hint="eastAsia" w:ascii="仿宋_GB2312" w:hAnsiTheme="minorHAnsi" w:cstheme="minorBidi"/>
          <w:color w:val="auto"/>
          <w:kern w:val="2"/>
          <w:sz w:val="32"/>
          <w:szCs w:val="32"/>
          <w:highlight w:val="none"/>
          <w:lang w:val="en-US" w:eastAsia="zh-CN" w:bidi="ar-SA"/>
        </w:rPr>
        <w:t>“</w:t>
      </w:r>
      <w:r>
        <w:rPr>
          <w:rFonts w:hint="default" w:ascii="仿宋_GB2312" w:eastAsia="仿宋_GB2312" w:hAnsiTheme="minorHAnsi" w:cstheme="minorBidi"/>
          <w:color w:val="auto"/>
          <w:kern w:val="2"/>
          <w:sz w:val="32"/>
          <w:szCs w:val="32"/>
          <w:highlight w:val="none"/>
          <w:lang w:val="en-US" w:eastAsia="zh-CN" w:bidi="ar-SA"/>
        </w:rPr>
        <w:t>十大发展优势</w:t>
      </w:r>
      <w:r>
        <w:rPr>
          <w:rFonts w:hint="eastAsia" w:ascii="仿宋_GB2312" w:hAnsiTheme="minorHAnsi" w:cstheme="minorBidi"/>
          <w:color w:val="auto"/>
          <w:kern w:val="2"/>
          <w:sz w:val="32"/>
          <w:szCs w:val="32"/>
          <w:highlight w:val="none"/>
          <w:lang w:val="en-US" w:eastAsia="zh-CN" w:bidi="ar-SA"/>
        </w:rPr>
        <w:t>”</w:t>
      </w:r>
      <w:r>
        <w:rPr>
          <w:rFonts w:hint="default" w:ascii="仿宋_GB2312" w:eastAsia="仿宋_GB2312" w:hAnsiTheme="minorHAnsi" w:cstheme="minorBidi"/>
          <w:color w:val="auto"/>
          <w:kern w:val="2"/>
          <w:sz w:val="32"/>
          <w:szCs w:val="32"/>
          <w:highlight w:val="none"/>
          <w:lang w:val="en-US" w:eastAsia="zh-CN" w:bidi="ar-SA"/>
        </w:rPr>
        <w:t>叠加众多</w:t>
      </w:r>
      <w:r>
        <w:rPr>
          <w:rFonts w:hint="eastAsia" w:ascii="仿宋_GB2312" w:hAnsiTheme="minorHAnsi" w:cstheme="minorBidi"/>
          <w:color w:val="auto"/>
          <w:kern w:val="2"/>
          <w:sz w:val="32"/>
          <w:szCs w:val="32"/>
          <w:highlight w:val="none"/>
          <w:lang w:val="en-US" w:eastAsia="zh-CN" w:bidi="ar-SA"/>
        </w:rPr>
        <w:t>“</w:t>
      </w:r>
      <w:r>
        <w:rPr>
          <w:rFonts w:hint="default" w:ascii="仿宋_GB2312" w:eastAsia="仿宋_GB2312" w:hAnsiTheme="minorHAnsi" w:cstheme="minorBidi"/>
          <w:color w:val="auto"/>
          <w:kern w:val="2"/>
          <w:sz w:val="32"/>
          <w:szCs w:val="32"/>
          <w:highlight w:val="none"/>
          <w:lang w:val="en-US" w:eastAsia="zh-CN" w:bidi="ar-SA"/>
        </w:rPr>
        <w:t>国家级</w:t>
      </w:r>
      <w:r>
        <w:rPr>
          <w:rFonts w:hint="eastAsia" w:ascii="仿宋_GB2312" w:hAnsiTheme="minorHAnsi" w:cstheme="minorBidi"/>
          <w:color w:val="auto"/>
          <w:kern w:val="2"/>
          <w:sz w:val="32"/>
          <w:szCs w:val="32"/>
          <w:highlight w:val="none"/>
          <w:lang w:val="en-US" w:eastAsia="zh-CN" w:bidi="ar-SA"/>
        </w:rPr>
        <w:t>”</w:t>
      </w:r>
      <w:r>
        <w:rPr>
          <w:rFonts w:hint="default" w:ascii="仿宋_GB2312" w:eastAsia="仿宋_GB2312" w:hAnsiTheme="minorHAnsi" w:cstheme="minorBidi"/>
          <w:color w:val="auto"/>
          <w:kern w:val="2"/>
          <w:sz w:val="32"/>
          <w:szCs w:val="32"/>
          <w:highlight w:val="none"/>
          <w:lang w:val="en-US" w:eastAsia="zh-CN" w:bidi="ar-SA"/>
        </w:rPr>
        <w:t>战略平台的强势赋能</w:t>
      </w:r>
      <w:r>
        <w:rPr>
          <w:rFonts w:hint="eastAsia" w:ascii="仿宋_GB2312" w:hAnsiTheme="minorHAnsi" w:cstheme="minorBidi"/>
          <w:color w:val="auto"/>
          <w:kern w:val="2"/>
          <w:sz w:val="32"/>
          <w:szCs w:val="32"/>
          <w:highlight w:val="none"/>
          <w:lang w:val="en-US" w:eastAsia="zh-CN" w:bidi="ar-SA"/>
        </w:rPr>
        <w:t>，</w:t>
      </w:r>
      <w:r>
        <w:rPr>
          <w:rFonts w:hint="default" w:ascii="仿宋_GB2312" w:eastAsia="仿宋_GB2312" w:hAnsiTheme="minorHAnsi" w:cstheme="minorBidi"/>
          <w:color w:val="auto"/>
          <w:kern w:val="2"/>
          <w:sz w:val="32"/>
          <w:szCs w:val="32"/>
          <w:highlight w:val="none"/>
          <w:lang w:val="en-US" w:eastAsia="zh-CN" w:bidi="ar-SA"/>
        </w:rPr>
        <w:t>北方先进制造业基地、北方商贸物流中心、区域性科技创新高地建设</w:t>
      </w:r>
      <w:r>
        <w:rPr>
          <w:rFonts w:hint="eastAsia" w:ascii="仿宋_GB2312" w:hAnsiTheme="minorHAnsi" w:cstheme="minorBidi"/>
          <w:color w:val="auto"/>
          <w:kern w:val="2"/>
          <w:sz w:val="32"/>
          <w:szCs w:val="32"/>
          <w:highlight w:val="none"/>
          <w:lang w:val="en-US" w:eastAsia="zh-CN" w:bidi="ar-SA"/>
        </w:rPr>
        <w:t>将取得突破性进展，</w:t>
      </w:r>
      <w:r>
        <w:rPr>
          <w:rFonts w:hint="eastAsia" w:ascii="Times New Roman" w:hAnsi="Times New Roman" w:eastAsia="仿宋_GB2312" w:cs="Times New Roman"/>
          <w:color w:val="auto"/>
          <w:sz w:val="32"/>
          <w:szCs w:val="32"/>
          <w:highlight w:val="none"/>
        </w:rPr>
        <w:t>省会北部</w:t>
      </w:r>
      <w:r>
        <w:rPr>
          <w:rFonts w:hint="eastAsia" w:ascii="Times New Roman" w:hAnsi="Times New Roman" w:cs="Times New Roman"/>
          <w:color w:val="auto"/>
          <w:sz w:val="32"/>
          <w:szCs w:val="32"/>
          <w:highlight w:val="none"/>
          <w:lang w:val="en-US" w:eastAsia="zh-CN"/>
        </w:rPr>
        <w:t>依然</w:t>
      </w:r>
      <w:r>
        <w:rPr>
          <w:rFonts w:hint="eastAsia" w:ascii="Times New Roman" w:hAnsi="Times New Roman" w:eastAsia="仿宋_GB2312" w:cs="Times New Roman"/>
          <w:color w:val="auto"/>
          <w:sz w:val="32"/>
          <w:szCs w:val="32"/>
          <w:highlight w:val="none"/>
          <w:lang w:val="en-US" w:eastAsia="zh-CN"/>
        </w:rPr>
        <w:t>是全市</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十五五</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时期高质量</w:t>
      </w:r>
      <w:r>
        <w:rPr>
          <w:rFonts w:hint="eastAsia" w:ascii="Times New Roman" w:hAnsi="Times New Roman" w:eastAsia="仿宋_GB2312" w:cs="Times New Roman"/>
          <w:color w:val="auto"/>
          <w:sz w:val="32"/>
          <w:szCs w:val="32"/>
          <w:highlight w:val="none"/>
        </w:rPr>
        <w:t>发展的</w:t>
      </w:r>
      <w:r>
        <w:rPr>
          <w:rFonts w:hint="eastAsia" w:ascii="Times New Roman" w:hAnsi="Times New Roman" w:eastAsia="仿宋_GB2312" w:cs="Times New Roman"/>
          <w:color w:val="auto"/>
          <w:sz w:val="32"/>
          <w:szCs w:val="32"/>
          <w:highlight w:val="none"/>
          <w:lang w:val="en-US" w:eastAsia="zh-CN"/>
        </w:rPr>
        <w:t>重要</w:t>
      </w:r>
      <w:r>
        <w:rPr>
          <w:rFonts w:hint="eastAsia" w:ascii="Times New Roman" w:hAnsi="Times New Roman" w:eastAsia="仿宋_GB2312" w:cs="Times New Roman"/>
          <w:color w:val="auto"/>
          <w:sz w:val="32"/>
          <w:szCs w:val="32"/>
          <w:highlight w:val="none"/>
        </w:rPr>
        <w:t>战略空间、城市核心功能的重要承载地</w:t>
      </w:r>
      <w:r>
        <w:rPr>
          <w:rFonts w:hint="eastAsia" w:ascii="Times New Roman" w:hAnsi="Times New Roman" w:cs="Times New Roman"/>
          <w:color w:val="auto"/>
          <w:sz w:val="32"/>
          <w:szCs w:val="32"/>
          <w:highlight w:val="none"/>
          <w:lang w:eastAsia="zh-CN"/>
        </w:rPr>
        <w:t>。</w:t>
      </w:r>
    </w:p>
    <w:p w14:paraId="437C8CE6">
      <w:pPr>
        <w:keepNext w:val="0"/>
        <w:keepLines w:val="0"/>
        <w:pageBreakBefore w:val="0"/>
        <w:widowControl w:val="0"/>
        <w:shd w:val="clear"/>
        <w:kinsoku/>
        <w:wordWrap/>
        <w:overflowPunct w:val="0"/>
        <w:topLinePunct w:val="0"/>
        <w:autoSpaceDE/>
        <w:autoSpaceDN/>
        <w:bidi w:val="0"/>
        <w:adjustRightInd/>
        <w:snapToGrid/>
        <w:spacing w:beforeLines="0" w:afterLines="0" w:line="60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总体来看，“十五五”时期</w:t>
      </w:r>
      <w:r>
        <w:rPr>
          <w:rFonts w:hint="eastAsia" w:cs="仿宋_GB2312"/>
          <w:color w:val="auto"/>
          <w:sz w:val="32"/>
          <w:szCs w:val="32"/>
          <w:highlight w:val="none"/>
          <w:lang w:val="en-US" w:eastAsia="zh-CN"/>
        </w:rPr>
        <w:t>我区</w:t>
      </w:r>
      <w:r>
        <w:rPr>
          <w:rFonts w:hint="eastAsia" w:ascii="仿宋_GB2312" w:hAnsi="仿宋_GB2312" w:eastAsia="仿宋_GB2312" w:cs="仿宋_GB2312"/>
          <w:color w:val="auto"/>
          <w:sz w:val="32"/>
          <w:szCs w:val="32"/>
          <w:highlight w:val="none"/>
        </w:rPr>
        <w:t>处于跨越式发展的</w:t>
      </w:r>
      <w:r>
        <w:rPr>
          <w:rFonts w:hint="eastAsia" w:cs="仿宋_GB2312"/>
          <w:color w:val="auto"/>
          <w:sz w:val="32"/>
          <w:szCs w:val="32"/>
          <w:highlight w:val="none"/>
          <w:lang w:val="en-US" w:eastAsia="zh-CN"/>
        </w:rPr>
        <w:t>重要</w:t>
      </w:r>
      <w:r>
        <w:rPr>
          <w:rFonts w:hint="eastAsia" w:ascii="仿宋_GB2312" w:hAnsi="仿宋_GB2312" w:eastAsia="仿宋_GB2312" w:cs="仿宋_GB2312"/>
          <w:color w:val="auto"/>
          <w:sz w:val="32"/>
          <w:szCs w:val="32"/>
          <w:highlight w:val="none"/>
        </w:rPr>
        <w:t>历史节点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仍处于可以大有作为的重要战略机遇期、政策红利窗口期、实体经济能级跃升期。必须辩证认识和把握国内外大势</w:t>
      </w:r>
      <w:r>
        <w:rPr>
          <w:rFonts w:hint="eastAsia" w:ascii="仿宋_GB2312" w:hAnsi="仿宋_GB2312" w:eastAsia="仿宋_GB2312" w:cs="仿宋_GB2312"/>
          <w:color w:val="auto"/>
          <w:sz w:val="32"/>
          <w:szCs w:val="32"/>
          <w:highlight w:val="none"/>
          <w:lang w:eastAsia="zh-CN"/>
        </w:rPr>
        <w:t>，深刻把握国家、省、市战略导向和区情特征，全面推进现代化建设、高质量发展。</w:t>
      </w:r>
    </w:p>
    <w:p w14:paraId="66C3F9F4">
      <w:pPr>
        <w:keepNext w:val="0"/>
        <w:keepLines w:val="0"/>
        <w:pageBreakBefore w:val="0"/>
        <w:widowControl w:val="0"/>
        <w:shd w:val="clear"/>
        <w:kinsoku/>
        <w:wordWrap/>
        <w:overflowPunct w:val="0"/>
        <w:topLinePunct w:val="0"/>
        <w:autoSpaceDE/>
        <w:autoSpaceDN/>
        <w:bidi w:val="0"/>
        <w:adjustRightInd/>
        <w:snapToGrid/>
        <w:spacing w:beforeLines="0" w:afterLines="0" w:line="600" w:lineRule="exact"/>
        <w:ind w:left="0" w:leftChars="0" w:firstLine="643" w:firstLineChars="200"/>
        <w:jc w:val="both"/>
        <w:textAlignment w:val="auto"/>
        <w:rPr>
          <w:rFonts w:hint="eastAsia" w:ascii="仿宋_GB2312" w:hAnsi="仿宋_GB2312" w:eastAsia="仿宋_GB2312" w:cs="仿宋_GB2312"/>
          <w:b w:val="0"/>
          <w:bCs w:val="0"/>
          <w:color w:val="auto"/>
          <w:kern w:val="0"/>
          <w:sz w:val="32"/>
          <w:szCs w:val="32"/>
          <w:highlight w:val="none"/>
          <w:u w:val="none"/>
          <w:lang w:val="en-US" w:eastAsia="zh-CN" w:bidi="ar-SA"/>
        </w:rPr>
      </w:pPr>
      <w:r>
        <w:rPr>
          <w:rFonts w:hint="eastAsia" w:ascii="楷体_GB2312" w:hAnsi="楷体_GB2312" w:eastAsia="楷体_GB2312" w:cs="楷体_GB2312"/>
          <w:b/>
          <w:bCs/>
          <w:color w:val="auto"/>
          <w:sz w:val="32"/>
          <w:szCs w:val="32"/>
          <w:highlight w:val="none"/>
        </w:rPr>
        <w:t>要突出把握</w:t>
      </w:r>
      <w:r>
        <w:rPr>
          <w:rFonts w:hint="eastAsia" w:ascii="楷体_GB2312" w:hAnsi="楷体_GB2312" w:eastAsia="楷体_GB2312" w:cs="楷体_GB2312"/>
          <w:b/>
          <w:bCs/>
          <w:color w:val="auto"/>
          <w:sz w:val="32"/>
          <w:szCs w:val="32"/>
          <w:highlight w:val="none"/>
          <w:lang w:val="en-US" w:eastAsia="zh-CN"/>
        </w:rPr>
        <w:t>五</w:t>
      </w:r>
      <w:r>
        <w:rPr>
          <w:rFonts w:hint="eastAsia" w:ascii="楷体_GB2312" w:hAnsi="楷体_GB2312" w:eastAsia="楷体_GB2312" w:cs="楷体_GB2312"/>
          <w:b/>
          <w:bCs/>
          <w:color w:val="auto"/>
          <w:sz w:val="32"/>
          <w:szCs w:val="32"/>
          <w:highlight w:val="none"/>
        </w:rPr>
        <w:t>大新机遇。</w:t>
      </w:r>
      <w:r>
        <w:rPr>
          <w:rFonts w:hint="default" w:ascii="仿宋_GB2312" w:hAnsi="仿宋_GB2312" w:eastAsia="仿宋_GB2312" w:cs="仿宋_GB2312"/>
          <w:b/>
          <w:bCs/>
          <w:color w:val="auto"/>
          <w:sz w:val="32"/>
          <w:szCs w:val="22"/>
          <w:highlight w:val="none"/>
        </w:rPr>
        <w:t>国家区域战略叠加</w:t>
      </w:r>
      <w:r>
        <w:rPr>
          <w:rFonts w:hint="default" w:ascii="仿宋_GB2312" w:hAnsi="仿宋_GB2312" w:eastAsia="仿宋_GB2312" w:cs="仿宋_GB2312"/>
          <w:b/>
          <w:bCs/>
          <w:color w:val="auto"/>
          <w:sz w:val="32"/>
          <w:szCs w:val="22"/>
          <w:highlight w:val="none"/>
          <w:lang w:val="en-US" w:eastAsia="zh-CN"/>
        </w:rPr>
        <w:t>赋能机遇。</w:t>
      </w:r>
      <w:r>
        <w:rPr>
          <w:rFonts w:hint="eastAsia" w:ascii="Times New Roman" w:hAnsi="Times New Roman" w:eastAsia="仿宋_GB2312" w:cs="Times New Roman"/>
          <w:color w:val="auto"/>
          <w:sz w:val="32"/>
          <w:szCs w:val="32"/>
          <w:highlight w:val="none"/>
          <w:lang w:val="en-US" w:eastAsia="zh-CN"/>
        </w:rPr>
        <w:t>在黄河流域生态保护和高质量发展战略深入实施、济南都市圈同城化发展、</w:t>
      </w:r>
      <w:r>
        <w:rPr>
          <w:rFonts w:hint="eastAsia" w:ascii="Times New Roman" w:hAnsi="Times New Roman" w:cs="Times New Roman"/>
          <w:color w:val="auto"/>
          <w:sz w:val="32"/>
          <w:szCs w:val="32"/>
          <w:highlight w:val="none"/>
          <w:lang w:val="en-US" w:eastAsia="zh-CN"/>
        </w:rPr>
        <w:t>济南新旧动能转换</w:t>
      </w:r>
      <w:r>
        <w:rPr>
          <w:rFonts w:hint="eastAsia" w:ascii="Times New Roman" w:hAnsi="Times New Roman" w:eastAsia="仿宋_GB2312" w:cs="Times New Roman"/>
          <w:color w:val="auto"/>
          <w:sz w:val="32"/>
          <w:szCs w:val="32"/>
          <w:highlight w:val="none"/>
          <w:lang w:val="en-US" w:eastAsia="zh-CN"/>
        </w:rPr>
        <w:t>起步区加快建设背景下，</w:t>
      </w:r>
      <w:r>
        <w:rPr>
          <w:rFonts w:hint="eastAsia" w:ascii="Times New Roman" w:hAnsi="Times New Roman" w:cs="Times New Roman"/>
          <w:color w:val="auto"/>
          <w:sz w:val="32"/>
          <w:szCs w:val="32"/>
          <w:highlight w:val="none"/>
          <w:lang w:val="en-US" w:eastAsia="zh-CN"/>
        </w:rPr>
        <w:t>我区</w:t>
      </w:r>
      <w:r>
        <w:rPr>
          <w:rFonts w:hint="eastAsia" w:ascii="仿宋_GB2312" w:eastAsia="仿宋_GB2312"/>
          <w:color w:val="auto"/>
          <w:sz w:val="32"/>
          <w:szCs w:val="32"/>
          <w:highlight w:val="none"/>
          <w:lang w:val="en-US" w:eastAsia="zh-CN"/>
        </w:rPr>
        <w:t>战略位势更加凸显</w:t>
      </w:r>
      <w:r>
        <w:rPr>
          <w:rFonts w:hint="eastAsia"/>
          <w:color w:val="auto"/>
          <w:sz w:val="32"/>
          <w:szCs w:val="32"/>
          <w:highlight w:val="none"/>
          <w:lang w:val="en-US" w:eastAsia="zh-CN"/>
        </w:rPr>
        <w:t>，</w:t>
      </w:r>
      <w:r>
        <w:rPr>
          <w:rFonts w:hint="eastAsia" w:cs="仿宋_GB2312"/>
          <w:color w:val="auto"/>
          <w:sz w:val="32"/>
          <w:szCs w:val="32"/>
          <w:highlight w:val="none"/>
          <w:lang w:val="en-US" w:eastAsia="zh-CN"/>
        </w:rPr>
        <w:t>可</w:t>
      </w:r>
      <w:r>
        <w:rPr>
          <w:rFonts w:hint="eastAsia" w:ascii="仿宋_GB2312" w:hAnsi="仿宋_GB2312" w:eastAsia="仿宋_GB2312" w:cs="仿宋_GB2312"/>
          <w:color w:val="auto"/>
          <w:sz w:val="32"/>
          <w:szCs w:val="32"/>
          <w:highlight w:val="none"/>
        </w:rPr>
        <w:t>充分利用区域政策、要素、市场的预期集成优势，吸纳集聚更多产业和人口资源，在新的发展阶段实现新的更大作为。</w:t>
      </w:r>
      <w:r>
        <w:rPr>
          <w:rFonts w:hint="default"/>
          <w:b/>
          <w:bCs/>
          <w:color w:val="auto"/>
          <w:highlight w:val="none"/>
          <w:lang w:val="en-US" w:eastAsia="zh-CN"/>
        </w:rPr>
        <w:t>新质生产力加速</w:t>
      </w:r>
      <w:r>
        <w:rPr>
          <w:rFonts w:hint="eastAsia"/>
          <w:b/>
          <w:bCs/>
          <w:color w:val="auto"/>
          <w:highlight w:val="none"/>
          <w:lang w:val="en-US" w:eastAsia="zh-CN"/>
        </w:rPr>
        <w:t>发展机遇</w:t>
      </w:r>
      <w:r>
        <w:rPr>
          <w:rFonts w:hint="default"/>
          <w:b/>
          <w:bCs/>
          <w:color w:val="auto"/>
          <w:highlight w:val="none"/>
          <w:lang w:val="en-US" w:eastAsia="zh-CN"/>
        </w:rPr>
        <w:t>。</w:t>
      </w:r>
      <w:r>
        <w:rPr>
          <w:rFonts w:hint="default"/>
          <w:color w:val="auto"/>
          <w:highlight w:val="none"/>
          <w:lang w:val="en-US" w:eastAsia="zh-CN"/>
        </w:rPr>
        <w:t>数字化和人工智能成为高质量发展主战场，新能源革命与新能源产业深刻互动并向纵深推进，绿色转型全面提速，</w:t>
      </w:r>
      <w:r>
        <w:rPr>
          <w:rFonts w:ascii="Times New Roman" w:hAnsi="Times New Roman"/>
          <w:color w:val="auto"/>
          <w:szCs w:val="21"/>
          <w:highlight w:val="none"/>
        </w:rPr>
        <w:t>特别是以</w:t>
      </w:r>
      <w:r>
        <w:rPr>
          <w:rFonts w:hint="eastAsia" w:hAnsi="Times New Roman"/>
          <w:color w:val="auto"/>
          <w:szCs w:val="21"/>
          <w:highlight w:val="none"/>
          <w:lang w:val="en-US" w:eastAsia="zh-CN"/>
        </w:rPr>
        <w:t>人工智能</w:t>
      </w:r>
      <w:r>
        <w:rPr>
          <w:rFonts w:ascii="Times New Roman" w:hAnsi="Times New Roman"/>
          <w:color w:val="auto"/>
          <w:szCs w:val="21"/>
          <w:highlight w:val="none"/>
        </w:rPr>
        <w:t>为代表的信息技术的广泛应用，为</w:t>
      </w:r>
      <w:r>
        <w:rPr>
          <w:rFonts w:hint="eastAsia" w:ascii="Times New Roman" w:hAnsi="Times New Roman"/>
          <w:color w:val="auto"/>
          <w:szCs w:val="21"/>
          <w:highlight w:val="none"/>
          <w:lang w:val="en-US" w:eastAsia="zh-CN"/>
        </w:rPr>
        <w:t>我区</w:t>
      </w:r>
      <w:r>
        <w:rPr>
          <w:rFonts w:ascii="Times New Roman" w:hAnsi="Times New Roman"/>
          <w:color w:val="auto"/>
          <w:szCs w:val="21"/>
          <w:highlight w:val="none"/>
        </w:rPr>
        <w:t>快速缩小与先进地区的差距创造了机会。</w:t>
      </w:r>
      <w:r>
        <w:rPr>
          <w:rFonts w:hint="eastAsia" w:cs="仿宋_GB2312"/>
          <w:b/>
          <w:bCs/>
          <w:color w:val="auto"/>
          <w:sz w:val="32"/>
          <w:szCs w:val="32"/>
          <w:highlight w:val="none"/>
          <w:lang w:val="en-US" w:eastAsia="zh-CN"/>
        </w:rPr>
        <w:t>国家级产业平台建设机遇。</w:t>
      </w:r>
      <w:r>
        <w:rPr>
          <w:rFonts w:hint="eastAsia" w:ascii="仿宋_GB2312" w:hAnsi="Calibri" w:eastAsia="仿宋_GB2312" w:cs="Times New Roman"/>
          <w:color w:val="auto"/>
          <w:sz w:val="32"/>
          <w:szCs w:val="32"/>
          <w:highlight w:val="none"/>
          <w:lang w:val="en-US" w:eastAsia="zh-CN"/>
        </w:rPr>
        <w:t>海峡两岸新旧动能转换产业合作区</w:t>
      </w:r>
      <w:r>
        <w:rPr>
          <w:rFonts w:hint="eastAsia" w:hAnsi="Calibri" w:cs="Times New Roman"/>
          <w:color w:val="auto"/>
          <w:sz w:val="32"/>
          <w:szCs w:val="32"/>
          <w:highlight w:val="none"/>
          <w:lang w:val="en-US" w:eastAsia="zh-CN"/>
        </w:rPr>
        <w:t>获批建设</w:t>
      </w:r>
      <w:r>
        <w:rPr>
          <w:rFonts w:hint="eastAsia" w:ascii="仿宋_GB2312" w:hAnsi="Calibri" w:eastAsia="仿宋_GB2312" w:cs="Times New Roman"/>
          <w:color w:val="auto"/>
          <w:sz w:val="32"/>
          <w:szCs w:val="32"/>
          <w:highlight w:val="none"/>
          <w:lang w:val="en-US" w:eastAsia="zh-CN"/>
        </w:rPr>
        <w:t>，是全国第六个、北方地区第一个，也是唯一一个由单个城市独立承建的国家级海峡两岸产业合作区</w:t>
      </w:r>
      <w:r>
        <w:rPr>
          <w:rFonts w:hint="eastAsia" w:ascii="仿宋_GB2312" w:eastAsia="仿宋_GB2312" w:cs="Times New Roman"/>
          <w:color w:val="auto"/>
          <w:sz w:val="32"/>
          <w:szCs w:val="32"/>
          <w:highlight w:val="none"/>
          <w:lang w:val="en-US" w:eastAsia="zh-CN"/>
        </w:rPr>
        <w:t>，更是</w:t>
      </w:r>
      <w:r>
        <w:rPr>
          <w:rFonts w:hint="default" w:ascii="Times New Roman" w:hAnsi="Times New Roman" w:eastAsia="仿宋_GB2312" w:cs="Times New Roman"/>
          <w:color w:val="auto"/>
          <w:sz w:val="32"/>
          <w:szCs w:val="32"/>
          <w:highlight w:val="none"/>
          <w:lang w:val="en-US" w:eastAsia="zh-CN"/>
        </w:rPr>
        <w:t>全国唯一以新旧动能转换为主题的国家级对台合作平台</w:t>
      </w:r>
      <w:r>
        <w:rPr>
          <w:rFonts w:hint="eastAsia" w:hAnsi="Calibri" w:cs="Times New Roman"/>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为</w:t>
      </w:r>
      <w:r>
        <w:rPr>
          <w:rFonts w:hint="eastAsia" w:cs="仿宋_GB2312"/>
          <w:color w:val="auto"/>
          <w:sz w:val="32"/>
          <w:szCs w:val="32"/>
          <w:highlight w:val="none"/>
          <w:lang w:eastAsia="zh-CN"/>
        </w:rPr>
        <w:t>我</w:t>
      </w:r>
      <w:r>
        <w:rPr>
          <w:rFonts w:hint="eastAsia" w:ascii="仿宋_GB2312" w:hAnsi="仿宋_GB2312" w:eastAsia="仿宋_GB2312" w:cs="仿宋_GB2312"/>
          <w:color w:val="auto"/>
          <w:sz w:val="32"/>
          <w:szCs w:val="32"/>
          <w:highlight w:val="none"/>
        </w:rPr>
        <w:t>区产业</w:t>
      </w:r>
      <w:r>
        <w:rPr>
          <w:rFonts w:hint="eastAsia" w:cs="仿宋_GB2312"/>
          <w:color w:val="auto"/>
          <w:sz w:val="32"/>
          <w:szCs w:val="32"/>
          <w:highlight w:val="none"/>
          <w:lang w:val="en-US" w:eastAsia="zh-CN"/>
        </w:rPr>
        <w:t>跨越式高质量</w:t>
      </w:r>
      <w:r>
        <w:rPr>
          <w:rFonts w:hint="eastAsia" w:ascii="仿宋_GB2312" w:hAnsi="仿宋_GB2312" w:eastAsia="仿宋_GB2312" w:cs="仿宋_GB2312"/>
          <w:color w:val="auto"/>
          <w:sz w:val="32"/>
          <w:szCs w:val="32"/>
          <w:highlight w:val="none"/>
        </w:rPr>
        <w:t>发展奠定了优势</w:t>
      </w:r>
      <w:r>
        <w:rPr>
          <w:rFonts w:hint="eastAsia" w:cs="仿宋_GB2312"/>
          <w:color w:val="auto"/>
          <w:sz w:val="32"/>
          <w:szCs w:val="32"/>
          <w:highlight w:val="none"/>
          <w:lang w:eastAsia="zh-CN"/>
        </w:rPr>
        <w:t>。</w:t>
      </w:r>
      <w:r>
        <w:rPr>
          <w:rFonts w:hint="default" w:ascii="仿宋_GB2312" w:hAnsi="仿宋_GB2312" w:eastAsia="仿宋_GB2312" w:cs="仿宋_GB2312"/>
          <w:b/>
          <w:bCs/>
          <w:color w:val="auto"/>
          <w:sz w:val="32"/>
          <w:szCs w:val="22"/>
          <w:highlight w:val="none"/>
          <w:lang w:val="en-US" w:eastAsia="zh-CN"/>
        </w:rPr>
        <w:t>新型城镇化建设机遇。</w:t>
      </w:r>
      <w:r>
        <w:rPr>
          <w:rFonts w:hint="eastAsia" w:ascii="仿宋_GB2312" w:hAnsi="仿宋_GB2312" w:eastAsia="仿宋_GB2312" w:cs="仿宋_GB2312"/>
          <w:b w:val="0"/>
          <w:bCs w:val="0"/>
          <w:color w:val="auto"/>
          <w:sz w:val="32"/>
          <w:szCs w:val="32"/>
          <w:highlight w:val="none"/>
          <w:lang w:val="en-US" w:eastAsia="zh-CN"/>
        </w:rPr>
        <w:t>新型城镇化建设已进入以人为核心的纵深发展阶段，县城作为未来新型城镇化建设的重要载体，我区</w:t>
      </w:r>
      <w:r>
        <w:rPr>
          <w:rFonts w:hint="eastAsia" w:cs="仿宋_GB2312"/>
          <w:b w:val="0"/>
          <w:bCs w:val="0"/>
          <w:color w:val="auto"/>
          <w:sz w:val="32"/>
          <w:szCs w:val="32"/>
          <w:highlight w:val="none"/>
          <w:lang w:val="en-US" w:eastAsia="zh-CN"/>
        </w:rPr>
        <w:t>可发挥</w:t>
      </w:r>
      <w:r>
        <w:rPr>
          <w:rFonts w:hint="eastAsia" w:ascii="仿宋_GB2312" w:hAnsi="仿宋_GB2312" w:eastAsia="仿宋_GB2312" w:cs="仿宋_GB2312"/>
          <w:b w:val="0"/>
          <w:bCs w:val="0"/>
          <w:color w:val="auto"/>
          <w:sz w:val="32"/>
          <w:szCs w:val="32"/>
          <w:highlight w:val="none"/>
          <w:lang w:val="en-US" w:eastAsia="zh-CN"/>
        </w:rPr>
        <w:t>山东省级城乡融合发展试验区和济南市新型城镇化潜力地区</w:t>
      </w:r>
      <w:r>
        <w:rPr>
          <w:rFonts w:hint="eastAsia" w:cs="仿宋_GB2312"/>
          <w:b w:val="0"/>
          <w:bCs w:val="0"/>
          <w:color w:val="auto"/>
          <w:sz w:val="32"/>
          <w:szCs w:val="32"/>
          <w:highlight w:val="none"/>
          <w:lang w:val="en-US" w:eastAsia="zh-CN"/>
        </w:rPr>
        <w:t>的政策优势</w:t>
      </w:r>
      <w:r>
        <w:rPr>
          <w:rFonts w:hint="eastAsia" w:ascii="仿宋_GB2312" w:hAnsi="仿宋_GB2312" w:eastAsia="仿宋_GB2312" w:cs="仿宋_GB2312"/>
          <w:b w:val="0"/>
          <w:bCs w:val="0"/>
          <w:color w:val="auto"/>
          <w:sz w:val="32"/>
          <w:szCs w:val="32"/>
          <w:highlight w:val="none"/>
          <w:lang w:val="en-US" w:eastAsia="zh-CN"/>
        </w:rPr>
        <w:t>，</w:t>
      </w:r>
      <w:r>
        <w:rPr>
          <w:rFonts w:hint="eastAsia" w:cs="仿宋_GB2312"/>
          <w:b w:val="0"/>
          <w:bCs w:val="0"/>
          <w:color w:val="auto"/>
          <w:sz w:val="32"/>
          <w:szCs w:val="32"/>
          <w:highlight w:val="none"/>
          <w:lang w:val="en-US" w:eastAsia="zh-CN"/>
        </w:rPr>
        <w:t>加快补齐城市建设、民生保障、社会治理等领域的短板弱项</w:t>
      </w:r>
      <w:r>
        <w:rPr>
          <w:rFonts w:hint="eastAsia" w:ascii="仿宋_GB2312" w:hAnsi="仿宋_GB2312" w:eastAsia="仿宋_GB2312" w:cs="仿宋_GB2312"/>
          <w:b w:val="0"/>
          <w:bCs w:val="0"/>
          <w:color w:val="auto"/>
          <w:sz w:val="32"/>
          <w:szCs w:val="32"/>
          <w:highlight w:val="none"/>
          <w:lang w:val="en-US" w:eastAsia="zh-CN"/>
        </w:rPr>
        <w:t>。</w:t>
      </w:r>
      <w:r>
        <w:rPr>
          <w:rFonts w:hint="default" w:ascii="仿宋_GB2312" w:hAnsi="仿宋_GB2312" w:eastAsia="仿宋_GB2312" w:cs="仿宋_GB2312"/>
          <w:b/>
          <w:bCs/>
          <w:color w:val="auto"/>
          <w:sz w:val="32"/>
          <w:szCs w:val="22"/>
          <w:highlight w:val="none"/>
        </w:rPr>
        <w:t>重大基础设施建设</w:t>
      </w:r>
      <w:r>
        <w:rPr>
          <w:rFonts w:hint="default" w:ascii="仿宋_GB2312" w:hAnsi="仿宋_GB2312" w:eastAsia="仿宋_GB2312" w:cs="仿宋_GB2312"/>
          <w:b/>
          <w:bCs/>
          <w:color w:val="auto"/>
          <w:sz w:val="32"/>
          <w:szCs w:val="22"/>
          <w:highlight w:val="none"/>
          <w:lang w:val="en-US" w:eastAsia="zh-CN"/>
        </w:rPr>
        <w:t>机遇。</w:t>
      </w:r>
      <w:r>
        <w:rPr>
          <w:rFonts w:hint="eastAsia" w:ascii="仿宋_GB2312" w:hAnsi="仿宋_GB2312" w:eastAsia="仿宋_GB2312" w:cs="仿宋_GB2312"/>
          <w:b w:val="0"/>
          <w:bCs w:val="0"/>
          <w:color w:val="auto"/>
          <w:kern w:val="0"/>
          <w:sz w:val="32"/>
          <w:szCs w:val="32"/>
          <w:highlight w:val="none"/>
          <w:u w:val="none"/>
          <w:lang w:val="en-US" w:eastAsia="zh-CN" w:bidi="ar-SA"/>
        </w:rPr>
        <w:t>随着</w:t>
      </w:r>
      <w:r>
        <w:rPr>
          <w:rFonts w:hint="eastAsia" w:cs="仿宋_GB2312"/>
          <w:b w:val="0"/>
          <w:bCs w:val="0"/>
          <w:color w:val="auto"/>
          <w:kern w:val="0"/>
          <w:sz w:val="32"/>
          <w:szCs w:val="32"/>
          <w:highlight w:val="none"/>
          <w:u w:val="none"/>
          <w:lang w:val="en-US" w:eastAsia="zh-CN" w:bidi="ar-SA"/>
        </w:rPr>
        <w:t>济南</w:t>
      </w:r>
      <w:r>
        <w:rPr>
          <w:rFonts w:hint="eastAsia" w:ascii="仿宋_GB2312" w:hAnsi="仿宋_GB2312" w:eastAsia="仿宋_GB2312" w:cs="仿宋_GB2312"/>
          <w:b w:val="0"/>
          <w:bCs w:val="0"/>
          <w:color w:val="auto"/>
          <w:kern w:val="0"/>
          <w:sz w:val="32"/>
          <w:szCs w:val="32"/>
          <w:highlight w:val="none"/>
          <w:u w:val="none"/>
          <w:lang w:val="en-US" w:eastAsia="zh-CN" w:bidi="ar-SA"/>
        </w:rPr>
        <w:t>轨道交通济阳线、济滨高铁、绕城“大北环”等加速布局，我区进入“高铁时代”“</w:t>
      </w:r>
      <w:r>
        <w:rPr>
          <w:rFonts w:hint="eastAsia" w:cs="仿宋_GB2312"/>
          <w:b w:val="0"/>
          <w:bCs w:val="0"/>
          <w:color w:val="auto"/>
          <w:kern w:val="0"/>
          <w:sz w:val="32"/>
          <w:szCs w:val="32"/>
          <w:highlight w:val="none"/>
          <w:u w:val="none"/>
          <w:lang w:val="en-US" w:eastAsia="zh-CN" w:bidi="ar-SA"/>
        </w:rPr>
        <w:t>轨交</w:t>
      </w:r>
      <w:r>
        <w:rPr>
          <w:rFonts w:hint="eastAsia" w:ascii="仿宋_GB2312" w:hAnsi="仿宋_GB2312" w:eastAsia="仿宋_GB2312" w:cs="仿宋_GB2312"/>
          <w:b w:val="0"/>
          <w:bCs w:val="0"/>
          <w:color w:val="auto"/>
          <w:kern w:val="0"/>
          <w:sz w:val="32"/>
          <w:szCs w:val="32"/>
          <w:highlight w:val="none"/>
          <w:u w:val="none"/>
          <w:lang w:val="en-US" w:eastAsia="zh-CN" w:bidi="ar-SA"/>
        </w:rPr>
        <w:t>时代”，对外联通走上了快车道，有利于我</w:t>
      </w:r>
      <w:r>
        <w:rPr>
          <w:rFonts w:hint="eastAsia" w:ascii="仿宋_GB2312" w:hAnsi="仿宋_GB2312" w:cs="仿宋_GB2312"/>
          <w:b w:val="0"/>
          <w:bCs w:val="0"/>
          <w:color w:val="auto"/>
          <w:kern w:val="0"/>
          <w:sz w:val="32"/>
          <w:szCs w:val="32"/>
          <w:highlight w:val="none"/>
          <w:u w:val="none"/>
          <w:lang w:val="en-US" w:eastAsia="zh-CN" w:bidi="ar-SA"/>
        </w:rPr>
        <w:t>区</w:t>
      </w:r>
      <w:r>
        <w:rPr>
          <w:rFonts w:hint="eastAsia" w:ascii="仿宋_GB2312" w:hAnsi="仿宋_GB2312" w:eastAsia="仿宋_GB2312" w:cs="仿宋_GB2312"/>
          <w:b w:val="0"/>
          <w:bCs w:val="0"/>
          <w:color w:val="auto"/>
          <w:kern w:val="0"/>
          <w:sz w:val="32"/>
          <w:szCs w:val="32"/>
          <w:highlight w:val="none"/>
          <w:u w:val="none"/>
          <w:lang w:val="en-US" w:eastAsia="zh-CN" w:bidi="ar-SA"/>
        </w:rPr>
        <w:t>有效接受先进地区辐射</w:t>
      </w:r>
      <w:r>
        <w:rPr>
          <w:rFonts w:hint="eastAsia" w:ascii="仿宋_GB2312" w:hAnsi="仿宋_GB2312" w:cs="仿宋_GB2312"/>
          <w:b w:val="0"/>
          <w:bCs w:val="0"/>
          <w:color w:val="auto"/>
          <w:kern w:val="0"/>
          <w:sz w:val="32"/>
          <w:szCs w:val="32"/>
          <w:highlight w:val="none"/>
          <w:u w:val="none"/>
          <w:lang w:val="en-US" w:eastAsia="zh-CN" w:bidi="ar-SA"/>
        </w:rPr>
        <w:t>，助力</w:t>
      </w:r>
      <w:r>
        <w:rPr>
          <w:rFonts w:hint="eastAsia" w:ascii="仿宋_GB2312" w:hAnsi="仿宋_GB2312" w:eastAsia="仿宋_GB2312" w:cs="仿宋_GB2312"/>
          <w:b w:val="0"/>
          <w:bCs w:val="0"/>
          <w:color w:val="auto"/>
          <w:kern w:val="0"/>
          <w:sz w:val="32"/>
          <w:szCs w:val="32"/>
          <w:highlight w:val="none"/>
          <w:u w:val="none"/>
          <w:lang w:val="en-US" w:eastAsia="zh-CN" w:bidi="ar-SA"/>
        </w:rPr>
        <w:t>在招商选资、招才引智、产业转型、提升城市功能等方面取得新突破。</w:t>
      </w:r>
    </w:p>
    <w:p w14:paraId="1449D156">
      <w:pPr>
        <w:keepNext w:val="0"/>
        <w:keepLines w:val="0"/>
        <w:pageBreakBefore w:val="0"/>
        <w:widowControl w:val="0"/>
        <w:shd w:val="clear"/>
        <w:kinsoku/>
        <w:wordWrap/>
        <w:overflowPunct w:val="0"/>
        <w:topLinePunct w:val="0"/>
        <w:autoSpaceDE/>
        <w:autoSpaceDN/>
        <w:bidi w:val="0"/>
        <w:adjustRightInd/>
        <w:snapToGrid/>
        <w:spacing w:beforeLines="0" w:afterLines="0" w:line="600" w:lineRule="exact"/>
        <w:ind w:left="0" w:leftChars="0" w:firstLine="643" w:firstLineChars="200"/>
        <w:jc w:val="both"/>
        <w:textAlignment w:val="auto"/>
        <w:rPr>
          <w:rFonts w:hint="eastAsia" w:ascii="楷体_GB2312" w:hAnsi="楷体_GB2312" w:eastAsia="楷体_GB2312" w:cs="楷体_GB2312"/>
          <w:b/>
          <w:bCs/>
          <w:color w:val="auto"/>
          <w:sz w:val="32"/>
          <w:szCs w:val="32"/>
          <w:highlight w:val="none"/>
        </w:rPr>
      </w:pPr>
      <w:r>
        <w:rPr>
          <w:rFonts w:hint="eastAsia" w:ascii="楷体_GB2312" w:hAnsi="楷体_GB2312" w:eastAsia="楷体_GB2312" w:cs="楷体_GB2312"/>
          <w:b/>
          <w:bCs/>
          <w:color w:val="auto"/>
          <w:sz w:val="32"/>
          <w:szCs w:val="32"/>
          <w:highlight w:val="none"/>
        </w:rPr>
        <w:t>要</w:t>
      </w:r>
      <w:r>
        <w:rPr>
          <w:rFonts w:hint="eastAsia" w:ascii="楷体_GB2312" w:hAnsi="楷体_GB2312" w:eastAsia="楷体_GB2312" w:cs="楷体_GB2312"/>
          <w:b/>
          <w:bCs/>
          <w:color w:val="auto"/>
          <w:sz w:val="32"/>
          <w:szCs w:val="32"/>
          <w:highlight w:val="none"/>
          <w:lang w:val="en-US" w:eastAsia="zh-CN"/>
        </w:rPr>
        <w:t>积极应对</w:t>
      </w:r>
      <w:r>
        <w:rPr>
          <w:rFonts w:hint="eastAsia" w:ascii="楷体_GB2312" w:hAnsi="楷体_GB2312" w:eastAsia="楷体_GB2312" w:cs="楷体_GB2312"/>
          <w:b/>
          <w:bCs/>
          <w:color w:val="auto"/>
          <w:sz w:val="32"/>
          <w:szCs w:val="32"/>
          <w:highlight w:val="none"/>
        </w:rPr>
        <w:t>三大风险挑战。</w:t>
      </w:r>
      <w:r>
        <w:rPr>
          <w:rFonts w:hint="default" w:ascii="仿宋_GB2312" w:hAnsi="仿宋_GB2312" w:eastAsia="仿宋_GB2312" w:cs="仿宋_GB2312"/>
          <w:b/>
          <w:bCs/>
          <w:color w:val="auto"/>
          <w:sz w:val="32"/>
          <w:szCs w:val="22"/>
          <w:highlight w:val="none"/>
        </w:rPr>
        <w:t>外部环境不确定性持续加剧。</w:t>
      </w:r>
      <w:r>
        <w:rPr>
          <w:rFonts w:hint="eastAsia" w:ascii="仿宋_GB2312" w:hAnsi="仿宋_GB2312" w:eastAsia="仿宋_GB2312" w:cs="仿宋_GB2312"/>
          <w:b w:val="0"/>
          <w:bCs w:val="0"/>
          <w:color w:val="auto"/>
          <w:sz w:val="32"/>
          <w:szCs w:val="32"/>
          <w:highlight w:val="none"/>
        </w:rPr>
        <w:t>当前世界进入新的动荡变革期，大国博弈更加复杂激烈，国际分工体系深度调整，全球产业链供应链布局加速重构。</w:t>
      </w:r>
      <w:r>
        <w:rPr>
          <w:rFonts w:hint="eastAsia" w:cs="仿宋_GB2312"/>
          <w:b w:val="0"/>
          <w:bCs w:val="0"/>
          <w:color w:val="auto"/>
          <w:sz w:val="32"/>
          <w:szCs w:val="32"/>
          <w:highlight w:val="none"/>
          <w:lang w:val="en-US" w:eastAsia="zh-CN"/>
        </w:rPr>
        <w:t>我区</w:t>
      </w:r>
      <w:r>
        <w:rPr>
          <w:rFonts w:hint="eastAsia" w:ascii="仿宋_GB2312" w:hAnsi="仿宋_GB2312" w:eastAsia="仿宋_GB2312" w:cs="仿宋_GB2312"/>
          <w:b w:val="0"/>
          <w:bCs w:val="0"/>
          <w:color w:val="auto"/>
          <w:sz w:val="32"/>
          <w:szCs w:val="32"/>
          <w:highlight w:val="none"/>
        </w:rPr>
        <w:t>正处于加快推动工业转型升级的关键时期，在技术创新、成本控制、效率提升上</w:t>
      </w:r>
      <w:r>
        <w:rPr>
          <w:rFonts w:hint="eastAsia" w:cs="仿宋_GB2312"/>
          <w:b w:val="0"/>
          <w:bCs w:val="0"/>
          <w:color w:val="auto"/>
          <w:sz w:val="32"/>
          <w:szCs w:val="32"/>
          <w:highlight w:val="none"/>
          <w:lang w:val="en-US" w:eastAsia="zh-CN"/>
        </w:rPr>
        <w:t>存在较为明显的短板，在新兴市场难以形成有效竞争</w:t>
      </w:r>
      <w:r>
        <w:rPr>
          <w:rFonts w:hint="eastAsia" w:ascii="仿宋_GB2312" w:hAnsi="仿宋_GB2312" w:eastAsia="仿宋_GB2312" w:cs="仿宋_GB2312"/>
          <w:b w:val="0"/>
          <w:bCs w:val="0"/>
          <w:color w:val="auto"/>
          <w:sz w:val="32"/>
          <w:szCs w:val="32"/>
          <w:highlight w:val="none"/>
        </w:rPr>
        <w:t>。</w:t>
      </w:r>
      <w:r>
        <w:rPr>
          <w:rFonts w:hint="default" w:ascii="仿宋_GB2312" w:hAnsi="仿宋_GB2312" w:eastAsia="仿宋_GB2312" w:cs="仿宋_GB2312"/>
          <w:b/>
          <w:bCs/>
          <w:color w:val="auto"/>
          <w:sz w:val="32"/>
          <w:szCs w:val="22"/>
          <w:highlight w:val="none"/>
        </w:rPr>
        <w:t>区域竞争态势日趋激烈。</w:t>
      </w:r>
      <w:r>
        <w:rPr>
          <w:rFonts w:hint="eastAsia" w:ascii="仿宋_GB2312" w:hAnsi="仿宋_GB2312" w:eastAsia="仿宋_GB2312" w:cs="仿宋_GB2312"/>
          <w:b w:val="0"/>
          <w:bCs w:val="0"/>
          <w:color w:val="auto"/>
          <w:sz w:val="32"/>
          <w:szCs w:val="32"/>
          <w:highlight w:val="none"/>
        </w:rPr>
        <w:t>当前国内各地围绕产业升级、项目招引、要素集聚等关键领域</w:t>
      </w:r>
      <w:r>
        <w:rPr>
          <w:rFonts w:hint="eastAsia" w:cs="仿宋_GB2312"/>
          <w:b w:val="0"/>
          <w:bCs w:val="0"/>
          <w:color w:val="auto"/>
          <w:sz w:val="32"/>
          <w:szCs w:val="32"/>
          <w:highlight w:val="none"/>
          <w:lang w:val="en-US" w:eastAsia="zh-CN"/>
        </w:rPr>
        <w:t>竞相发力</w:t>
      </w:r>
      <w:r>
        <w:rPr>
          <w:rFonts w:hint="eastAsia" w:ascii="仿宋_GB2312" w:hAnsi="仿宋_GB2312" w:eastAsia="仿宋_GB2312" w:cs="仿宋_GB2312"/>
          <w:b w:val="0"/>
          <w:bCs w:val="0"/>
          <w:color w:val="auto"/>
          <w:sz w:val="32"/>
          <w:szCs w:val="32"/>
          <w:highlight w:val="none"/>
        </w:rPr>
        <w:t>，济南都市圈内部城市及周边区域纷纷加</w:t>
      </w:r>
      <w:r>
        <w:rPr>
          <w:rFonts w:hint="eastAsia" w:cs="仿宋_GB2312"/>
          <w:b w:val="0"/>
          <w:bCs w:val="0"/>
          <w:color w:val="auto"/>
          <w:sz w:val="32"/>
          <w:szCs w:val="32"/>
          <w:highlight w:val="none"/>
          <w:lang w:val="en-US" w:eastAsia="zh-CN"/>
        </w:rPr>
        <w:t>力</w:t>
      </w:r>
      <w:r>
        <w:rPr>
          <w:rFonts w:hint="eastAsia" w:ascii="仿宋_GB2312" w:hAnsi="仿宋_GB2312" w:eastAsia="仿宋_GB2312" w:cs="仿宋_GB2312"/>
          <w:b w:val="0"/>
          <w:bCs w:val="0"/>
          <w:color w:val="auto"/>
          <w:sz w:val="32"/>
          <w:szCs w:val="32"/>
          <w:highlight w:val="none"/>
        </w:rPr>
        <w:t>优势产业培育、营商环境优化、</w:t>
      </w:r>
      <w:r>
        <w:rPr>
          <w:rFonts w:hint="eastAsia" w:cs="仿宋_GB2312"/>
          <w:b w:val="0"/>
          <w:bCs w:val="0"/>
          <w:color w:val="auto"/>
          <w:sz w:val="32"/>
          <w:szCs w:val="32"/>
          <w:highlight w:val="none"/>
          <w:lang w:val="en-US" w:eastAsia="zh-CN"/>
        </w:rPr>
        <w:t>产业</w:t>
      </w:r>
      <w:r>
        <w:rPr>
          <w:rFonts w:hint="eastAsia" w:ascii="仿宋_GB2312" w:hAnsi="仿宋_GB2312" w:eastAsia="仿宋_GB2312" w:cs="仿宋_GB2312"/>
          <w:b w:val="0"/>
          <w:bCs w:val="0"/>
          <w:color w:val="auto"/>
          <w:sz w:val="32"/>
          <w:szCs w:val="32"/>
          <w:highlight w:val="none"/>
        </w:rPr>
        <w:t>政策支持，同质化竞争和差异化突围并存。</w:t>
      </w:r>
      <w:r>
        <w:rPr>
          <w:rFonts w:hint="eastAsia" w:cs="仿宋_GB2312"/>
          <w:b w:val="0"/>
          <w:bCs w:val="0"/>
          <w:color w:val="auto"/>
          <w:sz w:val="32"/>
          <w:szCs w:val="32"/>
          <w:highlight w:val="none"/>
          <w:lang w:val="en-US" w:eastAsia="zh-CN"/>
        </w:rPr>
        <w:t>我区面临</w:t>
      </w:r>
      <w:r>
        <w:rPr>
          <w:rFonts w:hint="eastAsia" w:ascii="仿宋_GB2312" w:hAnsi="仿宋_GB2312" w:eastAsia="仿宋_GB2312" w:cs="仿宋_GB2312"/>
          <w:b w:val="0"/>
          <w:bCs w:val="0"/>
          <w:color w:val="auto"/>
          <w:sz w:val="32"/>
          <w:szCs w:val="32"/>
          <w:highlight w:val="none"/>
        </w:rPr>
        <w:t>同构挤压、虹吸加剧</w:t>
      </w:r>
      <w:r>
        <w:rPr>
          <w:rFonts w:hint="eastAsia" w:cs="仿宋_GB2312"/>
          <w:b w:val="0"/>
          <w:bCs w:val="0"/>
          <w:color w:val="auto"/>
          <w:sz w:val="32"/>
          <w:szCs w:val="32"/>
          <w:highlight w:val="none"/>
          <w:lang w:val="en-US" w:eastAsia="zh-CN"/>
        </w:rPr>
        <w:t>等多重挑战</w:t>
      </w:r>
      <w:r>
        <w:rPr>
          <w:rFonts w:hint="eastAsia" w:ascii="仿宋_GB2312" w:hAnsi="仿宋_GB2312" w:eastAsia="仿宋_GB2312" w:cs="仿宋_GB2312"/>
          <w:b w:val="0"/>
          <w:bCs w:val="0"/>
          <w:color w:val="auto"/>
          <w:sz w:val="32"/>
          <w:szCs w:val="32"/>
          <w:highlight w:val="none"/>
        </w:rPr>
        <w:t>，在承接</w:t>
      </w:r>
      <w:r>
        <w:rPr>
          <w:rFonts w:hint="eastAsia" w:cs="仿宋_GB2312"/>
          <w:b w:val="0"/>
          <w:bCs w:val="0"/>
          <w:color w:val="auto"/>
          <w:sz w:val="32"/>
          <w:szCs w:val="32"/>
          <w:highlight w:val="none"/>
          <w:lang w:val="en-US" w:eastAsia="zh-CN"/>
        </w:rPr>
        <w:t>中心</w:t>
      </w:r>
      <w:r>
        <w:rPr>
          <w:rFonts w:hint="eastAsia" w:ascii="仿宋_GB2312" w:hAnsi="仿宋_GB2312" w:eastAsia="仿宋_GB2312" w:cs="仿宋_GB2312"/>
          <w:b w:val="0"/>
          <w:bCs w:val="0"/>
          <w:color w:val="auto"/>
          <w:sz w:val="32"/>
          <w:szCs w:val="32"/>
          <w:highlight w:val="none"/>
        </w:rPr>
        <w:t>城</w:t>
      </w:r>
      <w:r>
        <w:rPr>
          <w:rFonts w:hint="eastAsia" w:cs="仿宋_GB2312"/>
          <w:b w:val="0"/>
          <w:bCs w:val="0"/>
          <w:color w:val="auto"/>
          <w:sz w:val="32"/>
          <w:szCs w:val="32"/>
          <w:highlight w:val="none"/>
          <w:lang w:val="en-US" w:eastAsia="zh-CN"/>
        </w:rPr>
        <w:t>区</w:t>
      </w:r>
      <w:r>
        <w:rPr>
          <w:rFonts w:hint="eastAsia" w:ascii="仿宋_GB2312" w:hAnsi="仿宋_GB2312" w:eastAsia="仿宋_GB2312" w:cs="仿宋_GB2312"/>
          <w:b w:val="0"/>
          <w:bCs w:val="0"/>
          <w:color w:val="auto"/>
          <w:sz w:val="32"/>
          <w:szCs w:val="32"/>
          <w:highlight w:val="none"/>
        </w:rPr>
        <w:t>产业外溢、集聚高端人才技术资本等方面面临</w:t>
      </w:r>
      <w:r>
        <w:rPr>
          <w:rFonts w:hint="eastAsia" w:cs="仿宋_GB2312"/>
          <w:b w:val="0"/>
          <w:bCs w:val="0"/>
          <w:color w:val="auto"/>
          <w:sz w:val="32"/>
          <w:szCs w:val="32"/>
          <w:highlight w:val="none"/>
          <w:lang w:val="en-US" w:eastAsia="zh-CN"/>
        </w:rPr>
        <w:t>严峻挑战</w:t>
      </w:r>
      <w:r>
        <w:rPr>
          <w:rFonts w:hint="eastAsia" w:ascii="仿宋_GB2312" w:hAnsi="仿宋_GB2312" w:eastAsia="仿宋_GB2312" w:cs="仿宋_GB2312"/>
          <w:b w:val="0"/>
          <w:bCs w:val="0"/>
          <w:color w:val="auto"/>
          <w:sz w:val="32"/>
          <w:szCs w:val="32"/>
          <w:highlight w:val="none"/>
        </w:rPr>
        <w:t>。</w:t>
      </w:r>
      <w:r>
        <w:rPr>
          <w:rFonts w:hint="default" w:ascii="仿宋_GB2312" w:hAnsi="仿宋_GB2312" w:eastAsia="仿宋_GB2312" w:cs="仿宋_GB2312"/>
          <w:b/>
          <w:bCs/>
          <w:color w:val="auto"/>
          <w:sz w:val="32"/>
          <w:szCs w:val="22"/>
          <w:highlight w:val="none"/>
        </w:rPr>
        <w:t>发展不平衡不充分矛盾依然突出。</w:t>
      </w:r>
      <w:r>
        <w:rPr>
          <w:rFonts w:hint="eastAsia" w:cs="仿宋_GB2312"/>
          <w:b w:val="0"/>
          <w:bCs w:val="0"/>
          <w:color w:val="auto"/>
          <w:sz w:val="32"/>
          <w:szCs w:val="32"/>
          <w:highlight w:val="none"/>
          <w:lang w:eastAsia="zh-CN"/>
        </w:rPr>
        <w:t>我</w:t>
      </w:r>
      <w:r>
        <w:rPr>
          <w:rFonts w:hint="eastAsia" w:ascii="仿宋_GB2312" w:hAnsi="仿宋_GB2312" w:eastAsia="仿宋_GB2312" w:cs="仿宋_GB2312"/>
          <w:b w:val="0"/>
          <w:bCs w:val="0"/>
          <w:color w:val="auto"/>
          <w:sz w:val="32"/>
          <w:szCs w:val="32"/>
          <w:highlight w:val="none"/>
        </w:rPr>
        <w:t>区经济总量规模偏小，引领性、支撑性大项目储备不足，产业集群效应尚未充分释放；城市能级和基础支撑仍有差距，乡村振兴综合质效不高，城乡融合任务依然繁重；民生保障领域仍存在短板弱项，安全发展、生态环保、金融稳定等领域的风险隐患不容忽视，政府治理体系和治理能力现代化建设仍需持续深化。</w:t>
      </w:r>
      <w:r>
        <w:rPr>
          <w:rFonts w:hint="eastAsia" w:cs="仿宋_GB2312"/>
          <w:b w:val="0"/>
          <w:bCs w:val="0"/>
          <w:color w:val="auto"/>
          <w:sz w:val="32"/>
          <w:szCs w:val="32"/>
          <w:highlight w:val="none"/>
          <w:lang w:val="en-US" w:eastAsia="zh-CN"/>
        </w:rPr>
        <w:t>与</w:t>
      </w:r>
      <w:r>
        <w:rPr>
          <w:rFonts w:hint="eastAsia" w:ascii="仿宋_GB2312" w:hAnsi="仿宋_GB2312" w:eastAsia="仿宋_GB2312" w:cs="仿宋_GB2312"/>
          <w:b w:val="0"/>
          <w:bCs w:val="0"/>
          <w:color w:val="auto"/>
          <w:sz w:val="32"/>
          <w:szCs w:val="32"/>
          <w:highlight w:val="none"/>
        </w:rPr>
        <w:t>市委</w:t>
      </w:r>
      <w:r>
        <w:rPr>
          <w:rFonts w:hint="eastAsia"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市政府对</w:t>
      </w:r>
      <w:r>
        <w:rPr>
          <w:rFonts w:hint="eastAsia" w:cs="仿宋_GB2312"/>
          <w:b w:val="0"/>
          <w:bCs w:val="0"/>
          <w:color w:val="auto"/>
          <w:sz w:val="32"/>
          <w:szCs w:val="32"/>
          <w:highlight w:val="none"/>
          <w:lang w:val="en-US" w:eastAsia="zh-CN"/>
        </w:rPr>
        <w:t>我区</w:t>
      </w:r>
      <w:r>
        <w:rPr>
          <w:rFonts w:hint="eastAsia" w:ascii="仿宋_GB2312" w:hAnsi="仿宋_GB2312" w:eastAsia="仿宋_GB2312" w:cs="仿宋_GB2312"/>
          <w:b w:val="0"/>
          <w:bCs w:val="0"/>
          <w:color w:val="auto"/>
          <w:sz w:val="32"/>
          <w:szCs w:val="32"/>
          <w:highlight w:val="none"/>
        </w:rPr>
        <w:t>在黄河流域</w:t>
      </w:r>
      <w:r>
        <w:rPr>
          <w:rFonts w:hint="eastAsia" w:cs="仿宋_GB2312"/>
          <w:b w:val="0"/>
          <w:bCs w:val="0"/>
          <w:color w:val="auto"/>
          <w:sz w:val="32"/>
          <w:szCs w:val="32"/>
          <w:highlight w:val="none"/>
          <w:lang w:val="en-US" w:eastAsia="zh-CN"/>
        </w:rPr>
        <w:t>生态保护和</w:t>
      </w:r>
      <w:r>
        <w:rPr>
          <w:rFonts w:hint="eastAsia" w:ascii="仿宋_GB2312" w:hAnsi="仿宋_GB2312" w:eastAsia="仿宋_GB2312" w:cs="仿宋_GB2312"/>
          <w:b w:val="0"/>
          <w:bCs w:val="0"/>
          <w:color w:val="auto"/>
          <w:sz w:val="32"/>
          <w:szCs w:val="32"/>
          <w:highlight w:val="none"/>
        </w:rPr>
        <w:t>高质量发展</w:t>
      </w:r>
      <w:r>
        <w:rPr>
          <w:rFonts w:hint="eastAsia"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济南都市圈建设等战略中发挥更大作用</w:t>
      </w:r>
      <w:r>
        <w:rPr>
          <w:rFonts w:hint="eastAsia" w:cs="仿宋_GB2312"/>
          <w:b w:val="0"/>
          <w:bCs w:val="0"/>
          <w:color w:val="auto"/>
          <w:sz w:val="32"/>
          <w:szCs w:val="32"/>
          <w:highlight w:val="none"/>
          <w:lang w:val="en-US" w:eastAsia="zh-CN"/>
        </w:rPr>
        <w:t>的</w:t>
      </w:r>
      <w:r>
        <w:rPr>
          <w:rFonts w:hint="eastAsia" w:ascii="仿宋_GB2312" w:hAnsi="仿宋_GB2312" w:eastAsia="仿宋_GB2312" w:cs="仿宋_GB2312"/>
          <w:b w:val="0"/>
          <w:bCs w:val="0"/>
          <w:color w:val="auto"/>
          <w:sz w:val="32"/>
          <w:szCs w:val="32"/>
          <w:highlight w:val="none"/>
        </w:rPr>
        <w:t>要求还有差距。</w:t>
      </w:r>
    </w:p>
    <w:bookmarkEnd w:id="2"/>
    <w:bookmarkEnd w:id="3"/>
    <w:bookmarkEnd w:id="4"/>
    <w:bookmarkEnd w:id="5"/>
    <w:bookmarkEnd w:id="6"/>
    <w:bookmarkEnd w:id="7"/>
    <w:p w14:paraId="36376F19">
      <w:pPr>
        <w:pStyle w:val="3"/>
        <w:keepNext w:val="0"/>
        <w:keepLines w:val="0"/>
        <w:pageBreakBefore w:val="0"/>
        <w:widowControl w:val="0"/>
        <w:shd w:val="clear"/>
        <w:kinsoku/>
        <w:wordWrap/>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spacing w:val="0"/>
          <w:sz w:val="32"/>
          <w:highlight w:val="none"/>
          <w:lang w:val="en-US" w:eastAsia="zh-CN"/>
        </w:rPr>
      </w:pPr>
      <w:bookmarkStart w:id="19" w:name="_Toc30222"/>
      <w:bookmarkStart w:id="20" w:name="_Toc15297"/>
      <w:bookmarkStart w:id="21" w:name="_Toc20589"/>
      <w:bookmarkStart w:id="22" w:name="_Toc25201"/>
      <w:bookmarkStart w:id="23" w:name="_Toc12467"/>
      <w:bookmarkStart w:id="24" w:name="_Toc22082"/>
      <w:bookmarkStart w:id="25" w:name="_Toc30207"/>
      <w:bookmarkStart w:id="26" w:name="_Toc5977"/>
      <w:bookmarkStart w:id="27" w:name="_Toc21911"/>
      <w:bookmarkStart w:id="28" w:name="_Toc26431"/>
      <w:bookmarkStart w:id="29" w:name="_Toc25766"/>
      <w:bookmarkStart w:id="30" w:name="_Toc26410"/>
      <w:bookmarkStart w:id="31" w:name="_Toc26258"/>
      <w:r>
        <w:rPr>
          <w:rFonts w:hint="eastAsia" w:ascii="黑体" w:hAnsi="黑体" w:eastAsia="黑体" w:cs="黑体"/>
          <w:color w:val="auto"/>
          <w:spacing w:val="0"/>
          <w:sz w:val="32"/>
          <w:highlight w:val="none"/>
          <w:lang w:val="en-US" w:eastAsia="zh-CN"/>
        </w:rPr>
        <w:t>三、指导方针</w:t>
      </w:r>
      <w:bookmarkEnd w:id="19"/>
      <w:bookmarkEnd w:id="20"/>
    </w:p>
    <w:p w14:paraId="7173E6BE">
      <w:pPr>
        <w:keepNext w:val="0"/>
        <w:keepLines w:val="0"/>
        <w:pageBreakBefore w:val="0"/>
        <w:widowControl w:val="0"/>
        <w:shd w:val="clear"/>
        <w:kinsoku/>
        <w:wordWrap/>
        <w:overflowPunct w:val="0"/>
        <w:topLinePunct w:val="0"/>
        <w:autoSpaceDE/>
        <w:autoSpaceDN/>
        <w:bidi w:val="0"/>
        <w:adjustRightInd/>
        <w:snapToGrid/>
        <w:spacing w:beforeLines="0" w:beforeAutospacing="0" w:afterLines="0" w:afterAutospacing="0" w:line="600" w:lineRule="exact"/>
        <w:ind w:firstLine="640" w:firstLineChars="200"/>
        <w:jc w:val="both"/>
        <w:textAlignment w:val="auto"/>
        <w:outlineLvl w:val="9"/>
        <w:rPr>
          <w:rFonts w:hint="eastAsia" w:ascii="仿宋_GB2312" w:hAnsi="仿宋_GB2312" w:eastAsia="仿宋_GB2312" w:cs="仿宋_GB2312"/>
          <w:b w:val="0"/>
          <w:bCs w:val="0"/>
          <w:color w:val="auto"/>
          <w:spacing w:val="0"/>
          <w:sz w:val="32"/>
          <w:szCs w:val="32"/>
          <w:highlight w:val="none"/>
          <w:lang w:eastAsia="zh-CN"/>
        </w:rPr>
      </w:pPr>
      <w:r>
        <w:rPr>
          <w:rFonts w:hint="eastAsia"/>
          <w:color w:val="auto"/>
          <w:highlight w:val="none"/>
        </w:rPr>
        <w:t>坚持马克思列宁主义、毛泽东思想、邓小平理论、“三个代表”重要思想、科学发展观，全面贯彻习近平新时代中国特色社会主义思想，深入贯彻党的二十大和二十届历次全会精神，认真落实习近平总书记视察山东重要讲话和重要指示批示精神，统筹推进“五位一体”总体布局，协调推进“四个全面”战略布局，完整准确全面贯彻新发展理念，主动服务和融入新发展格局，坚持稳中求进工作总基调，坚持以经济建设为中心，以推动高质量发展为主题，以改革创新为根本动力，以满足人民日益增长的美好生活需要为根本目的，以全面从严治党为根本保障，抢抓黄河流域生态保护和高质量发展战略、山东“强省会”战略、济南“北起”战略叠加机遇，把培育发展新质生产力摆在更加突出的战略位置，有序实施城市更新和乡村全面振兴，加快推动全体人民共同富裕，统筹发展和安全，聚力打造“海峡两岸新旧动能转换产业合作高地、济南沿黄生态赋能发展示范区、济南主城北部产城融合与都市生态农业发展示范区”，确保基本建成高质量北部中心城区取得决定性进展，奋力谱写“强新优富美高”新时代社会主义现代化强省会济阳篇章。</w:t>
      </w:r>
    </w:p>
    <w:p w14:paraId="1D4C36A6">
      <w:pPr>
        <w:keepNext w:val="0"/>
        <w:keepLines w:val="0"/>
        <w:pageBreakBefore w:val="0"/>
        <w:widowControl w:val="0"/>
        <w:shd w:val="clear"/>
        <w:kinsoku/>
        <w:wordWrap/>
        <w:overflowPunct w:val="0"/>
        <w:topLinePunct w:val="0"/>
        <w:autoSpaceDE/>
        <w:autoSpaceDN/>
        <w:bidi w:val="0"/>
        <w:adjustRightInd/>
        <w:snapToGrid/>
        <w:spacing w:beforeLines="0" w:beforeAutospacing="0" w:afterLines="0" w:afterAutospacing="0" w:line="600" w:lineRule="exact"/>
        <w:ind w:firstLine="640" w:firstLineChars="200"/>
        <w:jc w:val="both"/>
        <w:textAlignment w:val="auto"/>
        <w:outlineLvl w:val="9"/>
        <w:rPr>
          <w:rFonts w:hint="eastAsia" w:ascii="仿宋_GB2312" w:hAnsi="仿宋_GB2312" w:eastAsia="仿宋_GB2312" w:cs="仿宋_GB2312"/>
          <w:b w:val="0"/>
          <w:bCs w:val="0"/>
          <w:color w:val="auto"/>
          <w:spacing w:val="0"/>
          <w:kern w:val="0"/>
          <w:sz w:val="32"/>
          <w:szCs w:val="32"/>
          <w:highlight w:val="none"/>
          <w:lang w:val="en-US" w:eastAsia="zh-CN" w:bidi="ar-SA"/>
        </w:rPr>
      </w:pPr>
      <w:r>
        <w:rPr>
          <w:rFonts w:hint="eastAsia" w:ascii="仿宋_GB2312" w:hAnsi="仿宋_GB2312" w:eastAsia="仿宋_GB2312" w:cs="仿宋_GB2312"/>
          <w:b w:val="0"/>
          <w:bCs w:val="0"/>
          <w:color w:val="auto"/>
          <w:spacing w:val="0"/>
          <w:kern w:val="0"/>
          <w:sz w:val="32"/>
          <w:szCs w:val="32"/>
          <w:highlight w:val="none"/>
          <w:lang w:val="en-US" w:eastAsia="zh-CN" w:bidi="ar-SA"/>
        </w:rPr>
        <w:t>“十五五”时期，</w:t>
      </w:r>
      <w:r>
        <w:rPr>
          <w:rFonts w:hint="eastAsia" w:ascii="仿宋_GB2312"/>
          <w:color w:val="auto"/>
          <w:highlight w:val="none"/>
        </w:rPr>
        <w:t>做好经济社会发展各项工作，</w:t>
      </w:r>
      <w:r>
        <w:rPr>
          <w:rFonts w:hint="eastAsia" w:ascii="仿宋_GB2312" w:hAnsi="仿宋_GB2312" w:eastAsia="仿宋_GB2312" w:cs="仿宋_GB2312"/>
          <w:b w:val="0"/>
          <w:bCs w:val="0"/>
          <w:color w:val="auto"/>
          <w:spacing w:val="0"/>
          <w:kern w:val="0"/>
          <w:sz w:val="32"/>
          <w:szCs w:val="32"/>
          <w:highlight w:val="none"/>
          <w:lang w:val="en-US" w:eastAsia="zh-CN" w:bidi="ar-SA"/>
        </w:rPr>
        <w:t>必须遵循以下原则：</w:t>
      </w:r>
    </w:p>
    <w:p w14:paraId="79BD7E33">
      <w:pPr>
        <w:keepNext w:val="0"/>
        <w:keepLines w:val="0"/>
        <w:pageBreakBefore w:val="0"/>
        <w:widowControl w:val="0"/>
        <w:shd w:val="clear"/>
        <w:kinsoku/>
        <w:wordWrap/>
        <w:overflowPunct/>
        <w:topLinePunct w:val="0"/>
        <w:autoSpaceDE/>
        <w:autoSpaceDN/>
        <w:bidi w:val="0"/>
        <w:adjustRightInd/>
        <w:snapToGrid/>
        <w:spacing w:beforeLines="0" w:afterLines="0"/>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——坚持党的全面领导。</w:t>
      </w:r>
      <w:r>
        <w:rPr>
          <w:rFonts w:hint="eastAsia" w:ascii="仿宋_GB2312" w:hAnsi="仿宋_GB2312" w:eastAsia="仿宋_GB2312" w:cs="仿宋_GB2312"/>
          <w:color w:val="auto"/>
          <w:sz w:val="32"/>
          <w:szCs w:val="32"/>
          <w:highlight w:val="none"/>
        </w:rPr>
        <w:t>坚决维护党中央权威和集中统一领导，</w:t>
      </w:r>
      <w:r>
        <w:rPr>
          <w:rFonts w:hint="eastAsia" w:ascii="仿宋_GB2312" w:cs="仿宋_GB2312"/>
          <w:color w:val="auto"/>
          <w:highlight w:val="none"/>
        </w:rPr>
        <w:t>坚持和完善党领导经济社会发展的体制机制，更好发挥党总揽全局、协调各方的领导核心作用，不断提高贯彻新发展理念、构建新发展格局的能力和水平，把党的政治优势、制度优势转化为</w:t>
      </w:r>
      <w:r>
        <w:rPr>
          <w:rFonts w:hint="eastAsia" w:cs="仿宋_GB2312"/>
          <w:color w:val="auto"/>
          <w:highlight w:val="none"/>
          <w:lang w:val="en-US" w:eastAsia="zh-CN"/>
        </w:rPr>
        <w:t>济阳</w:t>
      </w:r>
      <w:r>
        <w:rPr>
          <w:rFonts w:hint="eastAsia" w:ascii="仿宋_GB2312" w:cs="仿宋_GB2312"/>
          <w:color w:val="auto"/>
          <w:highlight w:val="none"/>
        </w:rPr>
        <w:t>发展优势、治理优势。</w:t>
      </w:r>
    </w:p>
    <w:p w14:paraId="4B96A481">
      <w:pPr>
        <w:keepNext w:val="0"/>
        <w:keepLines w:val="0"/>
        <w:pageBreakBefore w:val="0"/>
        <w:widowControl/>
        <w:suppressLineNumbers w:val="0"/>
        <w:shd w:val="clear"/>
        <w:kinsoku/>
        <w:wordWrap/>
        <w:topLinePunct w:val="0"/>
        <w:autoSpaceDE/>
        <w:autoSpaceDN/>
        <w:bidi w:val="0"/>
        <w:spacing w:beforeLines="0" w:afterLines="0"/>
        <w:jc w:val="both"/>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——坚持人民至上。</w:t>
      </w:r>
      <w:r>
        <w:rPr>
          <w:rFonts w:hint="eastAsia" w:ascii="仿宋_GB2312" w:hAnsi="仿宋_GB2312" w:eastAsia="仿宋_GB2312" w:cs="仿宋_GB2312"/>
          <w:color w:val="auto"/>
          <w:sz w:val="32"/>
          <w:szCs w:val="32"/>
          <w:highlight w:val="none"/>
          <w:lang w:val="en-US" w:eastAsia="zh-CN"/>
        </w:rPr>
        <w:t>尊重人民主体地位，维护人民根本利益，促进社会公平正义，注重在发展中保障和改善民生，在满足民生需求中拓展发展空间，推动经济和社会协调发展、物质文明和精神文明相得益彰，让现代化建设成果更多更公平惠及全体人民。</w:t>
      </w:r>
    </w:p>
    <w:p w14:paraId="05CA6992">
      <w:pPr>
        <w:keepNext w:val="0"/>
        <w:keepLines w:val="0"/>
        <w:pageBreakBefore w:val="0"/>
        <w:widowControl/>
        <w:suppressLineNumbers w:val="0"/>
        <w:shd w:val="clear"/>
        <w:kinsoku/>
        <w:wordWrap/>
        <w:topLinePunct w:val="0"/>
        <w:autoSpaceDE/>
        <w:autoSpaceDN/>
        <w:bidi w:val="0"/>
        <w:spacing w:beforeLines="0" w:afterLines="0"/>
        <w:jc w:val="both"/>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——坚持高质量发展。</w:t>
      </w:r>
      <w:r>
        <w:rPr>
          <w:rFonts w:hint="eastAsia" w:ascii="仿宋_GB2312" w:hAnsi="仿宋_GB2312" w:eastAsia="仿宋_GB2312" w:cs="仿宋_GB2312"/>
          <w:color w:val="auto"/>
          <w:sz w:val="32"/>
          <w:szCs w:val="32"/>
          <w:highlight w:val="none"/>
          <w:lang w:val="en-US" w:eastAsia="zh-CN"/>
        </w:rPr>
        <w:t>深入实施“工业强区”战略，持续壮大实体经济，推进产业链供应链优化升级，因地制宜</w:t>
      </w:r>
      <w:r>
        <w:rPr>
          <w:rFonts w:hint="eastAsia" w:ascii="仿宋_GB2312" w:hAnsi="仿宋_GB2312" w:eastAsia="仿宋_GB2312" w:cs="仿宋_GB2312"/>
          <w:color w:val="auto"/>
          <w:sz w:val="32"/>
          <w:szCs w:val="32"/>
          <w:highlight w:val="none"/>
        </w:rPr>
        <w:t>发展新质生产力，促进经济结构优化升级，做优增量、盘活存量，加快质量变革、效率变革、动力变革，推动经济持续健康发展和社会全面进步。</w:t>
      </w:r>
    </w:p>
    <w:p w14:paraId="4E430D87">
      <w:pPr>
        <w:keepNext w:val="0"/>
        <w:keepLines w:val="0"/>
        <w:pageBreakBefore w:val="0"/>
        <w:widowControl w:val="0"/>
        <w:shd w:val="clear"/>
        <w:kinsoku/>
        <w:wordWrap/>
        <w:overflowPunct/>
        <w:topLinePunct w:val="0"/>
        <w:autoSpaceDE/>
        <w:autoSpaceDN/>
        <w:bidi w:val="0"/>
        <w:adjustRightInd/>
        <w:snapToGrid/>
        <w:spacing w:beforeLines="0" w:afterLines="0"/>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——坚持全面深化改革。</w:t>
      </w:r>
      <w:r>
        <w:rPr>
          <w:rFonts w:hint="eastAsia" w:ascii="仿宋_GB2312" w:hAnsi="仿宋_GB2312" w:eastAsia="仿宋_GB2312" w:cs="仿宋_GB2312"/>
          <w:color w:val="auto"/>
          <w:sz w:val="32"/>
          <w:szCs w:val="32"/>
          <w:highlight w:val="none"/>
        </w:rPr>
        <w:t>坚定不移推进改革，扎实推进重点领域和关键环节改革，破除制约高质量发展的体制机制障碍，持续增强发展动力和社会活力。坚定不移扩大开放，</w:t>
      </w:r>
      <w:r>
        <w:rPr>
          <w:rFonts w:hint="eastAsia" w:ascii="仿宋_GB2312" w:hAnsi="仿宋_GB2312" w:eastAsia="仿宋_GB2312" w:cs="仿宋_GB2312"/>
          <w:color w:val="auto"/>
          <w:kern w:val="0"/>
          <w:sz w:val="32"/>
          <w:szCs w:val="32"/>
          <w:highlight w:val="none"/>
        </w:rPr>
        <w:t>主动融入黄河流域生态保护和高质量发展战略，积极参与</w:t>
      </w:r>
      <w:r>
        <w:rPr>
          <w:rFonts w:hint="eastAsia" w:ascii="仿宋_GB2312" w:hAnsi="仿宋_GB2312" w:eastAsia="仿宋_GB2312" w:cs="仿宋_GB2312"/>
          <w:color w:val="auto"/>
          <w:kern w:val="0"/>
          <w:sz w:val="32"/>
          <w:szCs w:val="32"/>
          <w:highlight w:val="none"/>
          <w:lang w:val="en-US" w:eastAsia="zh-CN"/>
        </w:rPr>
        <w:t>济南都市</w:t>
      </w:r>
      <w:r>
        <w:rPr>
          <w:rFonts w:hint="eastAsia" w:ascii="仿宋_GB2312" w:hAnsi="仿宋_GB2312" w:eastAsia="仿宋_GB2312" w:cs="仿宋_GB2312"/>
          <w:color w:val="auto"/>
          <w:kern w:val="0"/>
          <w:sz w:val="32"/>
          <w:szCs w:val="32"/>
          <w:highlight w:val="none"/>
        </w:rPr>
        <w:t>圈建设，</w:t>
      </w:r>
      <w:r>
        <w:rPr>
          <w:rFonts w:hint="eastAsia" w:ascii="仿宋_GB2312" w:hAnsi="仿宋_GB2312" w:eastAsia="仿宋_GB2312" w:cs="仿宋_GB2312"/>
          <w:color w:val="auto"/>
          <w:kern w:val="0"/>
          <w:sz w:val="32"/>
          <w:szCs w:val="32"/>
          <w:highlight w:val="none"/>
          <w:lang w:val="en-US" w:eastAsia="zh-CN"/>
        </w:rPr>
        <w:t>建强</w:t>
      </w:r>
      <w:r>
        <w:rPr>
          <w:rFonts w:hint="eastAsia" w:cs="仿宋_GB2312"/>
          <w:b w:val="0"/>
          <w:bCs w:val="0"/>
          <w:color w:val="auto"/>
          <w:szCs w:val="32"/>
          <w:highlight w:val="none"/>
          <w:lang w:val="en-US" w:eastAsia="zh-CN"/>
        </w:rPr>
        <w:t>山东</w:t>
      </w:r>
      <w:r>
        <w:rPr>
          <w:rFonts w:hint="eastAsia" w:ascii="仿宋_GB2312" w:hAnsi="仿宋_GB2312" w:eastAsia="仿宋_GB2312" w:cs="仿宋_GB2312"/>
          <w:b w:val="0"/>
          <w:bCs w:val="0"/>
          <w:color w:val="auto"/>
          <w:szCs w:val="32"/>
          <w:highlight w:val="none"/>
          <w:lang w:eastAsia="zh-CN"/>
        </w:rPr>
        <w:t>济北经济开发区</w:t>
      </w:r>
      <w:r>
        <w:rPr>
          <w:rFonts w:hint="eastAsia" w:ascii="仿宋_GB2312" w:hAnsi="仿宋_GB2312" w:eastAsia="仿宋_GB2312" w:cs="仿宋_GB2312"/>
          <w:color w:val="auto"/>
          <w:kern w:val="0"/>
          <w:sz w:val="32"/>
          <w:szCs w:val="32"/>
          <w:highlight w:val="none"/>
        </w:rPr>
        <w:t>、海峡两岸新旧动能转换产业合作区、起步区紧密协作区</w:t>
      </w:r>
      <w:r>
        <w:rPr>
          <w:rFonts w:hint="eastAsia" w:ascii="仿宋_GB2312" w:hAnsi="仿宋_GB2312" w:eastAsia="仿宋_GB2312" w:cs="仿宋_GB2312"/>
          <w:color w:val="auto"/>
          <w:kern w:val="0"/>
          <w:sz w:val="32"/>
          <w:szCs w:val="32"/>
          <w:highlight w:val="none"/>
          <w:lang w:val="en-US" w:eastAsia="zh-CN"/>
        </w:rPr>
        <w:t>，</w:t>
      </w:r>
      <w:r>
        <w:rPr>
          <w:rFonts w:hint="eastAsia" w:ascii="仿宋_GB2312" w:hAnsi="仿宋_GB2312" w:eastAsia="仿宋_GB2312" w:cs="仿宋_GB2312"/>
          <w:color w:val="auto"/>
          <w:sz w:val="32"/>
          <w:szCs w:val="32"/>
          <w:highlight w:val="none"/>
        </w:rPr>
        <w:t>打造</w:t>
      </w:r>
      <w:r>
        <w:rPr>
          <w:rFonts w:hint="eastAsia" w:cs="仿宋_GB2312"/>
          <w:color w:val="auto"/>
          <w:sz w:val="32"/>
          <w:szCs w:val="32"/>
          <w:highlight w:val="none"/>
          <w:lang w:val="en-US" w:eastAsia="zh-CN"/>
        </w:rPr>
        <w:t>济阳</w:t>
      </w:r>
      <w:r>
        <w:rPr>
          <w:rFonts w:hint="eastAsia" w:ascii="仿宋_GB2312" w:hAnsi="仿宋_GB2312" w:eastAsia="仿宋_GB2312" w:cs="仿宋_GB2312"/>
          <w:color w:val="auto"/>
          <w:sz w:val="32"/>
          <w:szCs w:val="32"/>
          <w:highlight w:val="none"/>
        </w:rPr>
        <w:t>开放型经济新优势。</w:t>
      </w:r>
    </w:p>
    <w:p w14:paraId="7E9F1E5F">
      <w:pPr>
        <w:keepNext w:val="0"/>
        <w:keepLines w:val="0"/>
        <w:pageBreakBefore w:val="0"/>
        <w:widowControl w:val="0"/>
        <w:shd w:val="clear"/>
        <w:kinsoku/>
        <w:wordWrap/>
        <w:overflowPunct/>
        <w:topLinePunct w:val="0"/>
        <w:autoSpaceDE/>
        <w:autoSpaceDN/>
        <w:bidi w:val="0"/>
        <w:adjustRightInd/>
        <w:snapToGrid/>
        <w:spacing w:beforeLines="0" w:afterLines="0"/>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——坚持有效市场和有为政府相结合。</w:t>
      </w:r>
      <w:r>
        <w:rPr>
          <w:rFonts w:hint="eastAsia" w:ascii="仿宋_GB2312" w:hAnsi="仿宋_GB2312" w:eastAsia="仿宋_GB2312" w:cs="仿宋_GB2312"/>
          <w:color w:val="auto"/>
          <w:sz w:val="32"/>
          <w:szCs w:val="32"/>
          <w:highlight w:val="none"/>
        </w:rPr>
        <w:t>充分发挥市场在资源配置中的决定性作用，更好发挥政府作用，构建统一、开放、竞争、有序的市场体系，建设法治经济、信用经济，打造市场化</w:t>
      </w:r>
      <w:r>
        <w:rPr>
          <w:rFonts w:hint="eastAsia"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法治化</w:t>
      </w:r>
      <w:r>
        <w:rPr>
          <w:rFonts w:hint="eastAsia"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国际化一流营商环境，形成既“放得活”又“管得好”的经济秩序。</w:t>
      </w:r>
    </w:p>
    <w:p w14:paraId="09595178">
      <w:pPr>
        <w:keepNext w:val="0"/>
        <w:keepLines w:val="0"/>
        <w:pageBreakBefore w:val="0"/>
        <w:widowControl w:val="0"/>
        <w:shd w:val="clear"/>
        <w:kinsoku/>
        <w:wordWrap/>
        <w:overflowPunct w:val="0"/>
        <w:topLinePunct w:val="0"/>
        <w:autoSpaceDE/>
        <w:autoSpaceDN/>
        <w:bidi w:val="0"/>
        <w:adjustRightInd w:val="0"/>
        <w:snapToGrid w:val="0"/>
        <w:spacing w:beforeLines="0" w:beforeAutospacing="0" w:afterLines="0" w:afterAutospacing="0" w:line="600" w:lineRule="exact"/>
        <w:ind w:firstLine="640" w:firstLineChars="200"/>
        <w:jc w:val="both"/>
        <w:textAlignment w:val="auto"/>
        <w:outlineLvl w:val="9"/>
        <w:rPr>
          <w:rFonts w:hint="default" w:ascii="仿宋_GB2312" w:hAnsi="仿宋_GB2312" w:eastAsia="仿宋_GB2312" w:cs="仿宋_GB2312"/>
          <w:b w:val="0"/>
          <w:bCs w:val="0"/>
          <w:color w:val="auto"/>
          <w:spacing w:val="0"/>
          <w:kern w:val="0"/>
          <w:sz w:val="32"/>
          <w:szCs w:val="32"/>
          <w:highlight w:val="none"/>
          <w:lang w:val="en-US" w:eastAsia="zh-CN" w:bidi="ar-SA"/>
        </w:rPr>
      </w:pPr>
      <w:r>
        <w:rPr>
          <w:rFonts w:hint="eastAsia" w:ascii="楷体_GB2312" w:hAnsi="楷体_GB2312" w:eastAsia="楷体_GB2312" w:cs="楷体_GB2312"/>
          <w:color w:val="auto"/>
          <w:sz w:val="32"/>
          <w:szCs w:val="32"/>
          <w:highlight w:val="none"/>
        </w:rPr>
        <w:t>——坚持统筹发展和安全。</w:t>
      </w:r>
      <w:r>
        <w:rPr>
          <w:rFonts w:hint="eastAsia" w:cs="仿宋_GB2312"/>
          <w:color w:val="auto"/>
          <w:szCs w:val="32"/>
          <w:highlight w:val="none"/>
          <w:lang w:eastAsia="zh-CN"/>
        </w:rPr>
        <w:t>牢固树立总体国家安全观，</w:t>
      </w:r>
      <w:r>
        <w:rPr>
          <w:rFonts w:hint="eastAsia" w:ascii="仿宋_GB2312" w:hAnsi="仿宋_GB2312" w:eastAsia="仿宋_GB2312" w:cs="仿宋_GB2312"/>
          <w:b w:val="0"/>
          <w:bCs w:val="0"/>
          <w:color w:val="auto"/>
          <w:spacing w:val="0"/>
          <w:kern w:val="0"/>
          <w:sz w:val="32"/>
          <w:szCs w:val="32"/>
          <w:highlight w:val="none"/>
          <w:lang w:val="en-US" w:eastAsia="zh-CN" w:bidi="ar-SA"/>
        </w:rPr>
        <w:t>将风险意识和安全理念贯穿经济社会发展全过程各领域，在发展中固安全，在安全中谋发展，有效防范化解各类风险，</w:t>
      </w:r>
      <w:r>
        <w:rPr>
          <w:rFonts w:hint="eastAsia" w:ascii="Calibri" w:hAnsi="Calibri" w:eastAsia="仿宋_GB2312" w:cs="Times New Roman"/>
          <w:b w:val="0"/>
          <w:bCs/>
          <w:color w:val="auto"/>
          <w:sz w:val="32"/>
          <w:highlight w:val="none"/>
        </w:rPr>
        <w:t>切实守牢政治安全、意识形态、财政金融、社会稳定、</w:t>
      </w:r>
      <w:r>
        <w:rPr>
          <w:rFonts w:hint="eastAsia" w:cs="Times New Roman"/>
          <w:b w:val="0"/>
          <w:bCs/>
          <w:color w:val="auto"/>
          <w:sz w:val="32"/>
          <w:highlight w:val="none"/>
          <w:lang w:val="en-US" w:eastAsia="zh-CN"/>
        </w:rPr>
        <w:t>粮食安全、能源保供</w:t>
      </w:r>
      <w:r>
        <w:rPr>
          <w:rFonts w:hint="eastAsia" w:ascii="Calibri" w:hAnsi="Calibri" w:eastAsia="仿宋_GB2312" w:cs="Times New Roman"/>
          <w:b w:val="0"/>
          <w:bCs/>
          <w:color w:val="auto"/>
          <w:sz w:val="32"/>
          <w:highlight w:val="none"/>
        </w:rPr>
        <w:t>等“一排底线”</w:t>
      </w:r>
      <w:r>
        <w:rPr>
          <w:rFonts w:hint="eastAsia" w:ascii="Calibri" w:hAnsi="Calibri" w:cs="Times New Roman"/>
          <w:b w:val="0"/>
          <w:bCs/>
          <w:color w:val="auto"/>
          <w:sz w:val="32"/>
          <w:highlight w:val="none"/>
          <w:lang w:eastAsia="zh-CN"/>
        </w:rPr>
        <w:t>，</w:t>
      </w:r>
      <w:r>
        <w:rPr>
          <w:rFonts w:hint="eastAsia" w:ascii="仿宋_GB2312" w:hAnsi="仿宋_GB2312" w:eastAsia="仿宋_GB2312" w:cs="仿宋_GB2312"/>
          <w:b w:val="0"/>
          <w:bCs w:val="0"/>
          <w:color w:val="auto"/>
          <w:spacing w:val="0"/>
          <w:kern w:val="0"/>
          <w:sz w:val="32"/>
          <w:szCs w:val="32"/>
          <w:highlight w:val="none"/>
          <w:lang w:val="en-US" w:eastAsia="zh-CN" w:bidi="ar-SA"/>
        </w:rPr>
        <w:t>以新安全格局保障新发展格局。</w:t>
      </w:r>
      <w:bookmarkEnd w:id="21"/>
      <w:bookmarkEnd w:id="22"/>
      <w:bookmarkEnd w:id="23"/>
      <w:bookmarkEnd w:id="24"/>
      <w:bookmarkEnd w:id="25"/>
      <w:bookmarkEnd w:id="26"/>
      <w:bookmarkEnd w:id="27"/>
      <w:bookmarkEnd w:id="28"/>
      <w:bookmarkEnd w:id="29"/>
      <w:bookmarkEnd w:id="30"/>
    </w:p>
    <w:p w14:paraId="6956A623">
      <w:pPr>
        <w:keepNext w:val="0"/>
        <w:keepLines w:val="0"/>
        <w:pageBreakBefore w:val="0"/>
        <w:widowControl w:val="0"/>
        <w:shd w:val="clear"/>
        <w:kinsoku/>
        <w:wordWrap/>
        <w:overflowPunct w:val="0"/>
        <w:topLinePunct w:val="0"/>
        <w:autoSpaceDE/>
        <w:autoSpaceDN/>
        <w:bidi w:val="0"/>
        <w:adjustRightInd w:val="0"/>
        <w:snapToGrid w:val="0"/>
        <w:spacing w:beforeLines="0" w:afterLines="0" w:line="600" w:lineRule="exact"/>
        <w:ind w:firstLineChars="200"/>
        <w:jc w:val="both"/>
        <w:textAlignment w:val="auto"/>
        <w:outlineLvl w:val="1"/>
        <w:rPr>
          <w:rFonts w:hint="eastAsia" w:ascii="黑体" w:hAnsi="黑体" w:eastAsia="黑体" w:cs="黑体"/>
          <w:color w:val="auto"/>
          <w:spacing w:val="0"/>
          <w:sz w:val="32"/>
          <w:highlight w:val="none"/>
          <w:lang w:val="en-US" w:eastAsia="zh-CN"/>
        </w:rPr>
      </w:pPr>
      <w:bookmarkStart w:id="32" w:name="_Toc27079"/>
      <w:bookmarkStart w:id="33" w:name="_Toc14372"/>
      <w:bookmarkStart w:id="34" w:name="_Toc27960"/>
      <w:bookmarkStart w:id="35" w:name="_Toc822"/>
      <w:bookmarkStart w:id="36" w:name="_Toc11305"/>
      <w:bookmarkStart w:id="37" w:name="_Toc20476"/>
      <w:bookmarkStart w:id="38" w:name="_Toc5734"/>
      <w:bookmarkStart w:id="39" w:name="_Toc2441"/>
      <w:r>
        <w:rPr>
          <w:rFonts w:hint="eastAsia" w:ascii="黑体" w:hAnsi="黑体" w:eastAsia="黑体" w:cs="黑体"/>
          <w:color w:val="auto"/>
          <w:spacing w:val="0"/>
          <w:sz w:val="32"/>
          <w:highlight w:val="none"/>
          <w:lang w:val="en-US" w:eastAsia="zh-CN"/>
        </w:rPr>
        <w:t>四、</w:t>
      </w:r>
      <w:bookmarkEnd w:id="32"/>
      <w:bookmarkEnd w:id="33"/>
      <w:bookmarkEnd w:id="34"/>
      <w:bookmarkEnd w:id="35"/>
      <w:bookmarkEnd w:id="36"/>
      <w:r>
        <w:rPr>
          <w:rFonts w:hint="eastAsia" w:ascii="黑体" w:hAnsi="黑体" w:eastAsia="黑体" w:cs="黑体"/>
          <w:color w:val="auto"/>
          <w:spacing w:val="0"/>
          <w:sz w:val="32"/>
          <w:highlight w:val="none"/>
          <w:lang w:val="en-US" w:eastAsia="zh-CN"/>
        </w:rPr>
        <w:t>功能定位</w:t>
      </w:r>
      <w:bookmarkEnd w:id="37"/>
      <w:bookmarkEnd w:id="38"/>
    </w:p>
    <w:p w14:paraId="03D32E03">
      <w:pPr>
        <w:keepNext w:val="0"/>
        <w:keepLines w:val="0"/>
        <w:pageBreakBefore w:val="0"/>
        <w:widowControl w:val="0"/>
        <w:shd w:val="clear"/>
        <w:kinsoku/>
        <w:wordWrap/>
        <w:overflowPunct w:val="0"/>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color w:val="auto"/>
          <w:spacing w:val="0"/>
          <w:kern w:val="0"/>
          <w:sz w:val="32"/>
          <w:szCs w:val="32"/>
          <w:highlight w:val="none"/>
          <w:lang w:eastAsia="zh-CN"/>
        </w:rPr>
      </w:pPr>
      <w:bookmarkStart w:id="40" w:name="_Toc5876"/>
      <w:bookmarkStart w:id="41" w:name="_Toc5710"/>
      <w:bookmarkStart w:id="42" w:name="_Toc7028"/>
      <w:bookmarkStart w:id="43" w:name="_Toc2427"/>
      <w:bookmarkStart w:id="44" w:name="_Toc11584"/>
      <w:r>
        <w:rPr>
          <w:rFonts w:hint="eastAsia" w:ascii="楷体_GB2312" w:hAnsi="楷体_GB2312" w:eastAsia="楷体_GB2312" w:cs="楷体_GB2312"/>
          <w:b w:val="0"/>
          <w:bCs w:val="0"/>
          <w:color w:val="auto"/>
          <w:spacing w:val="0"/>
          <w:kern w:val="0"/>
          <w:sz w:val="32"/>
          <w:szCs w:val="32"/>
          <w:highlight w:val="none"/>
          <w:lang w:eastAsia="zh-CN"/>
        </w:rPr>
        <w:t>——</w:t>
      </w:r>
      <w:r>
        <w:rPr>
          <w:rFonts w:hint="eastAsia" w:ascii="楷体_GB2312" w:hAnsi="楷体_GB2312" w:eastAsia="楷体_GB2312" w:cs="楷体_GB2312"/>
          <w:b w:val="0"/>
          <w:bCs w:val="0"/>
          <w:color w:val="auto"/>
          <w:spacing w:val="0"/>
          <w:kern w:val="0"/>
          <w:sz w:val="32"/>
          <w:szCs w:val="32"/>
          <w:highlight w:val="none"/>
        </w:rPr>
        <w:t>海峡两岸新旧动能转换产业合作高地</w:t>
      </w:r>
      <w:r>
        <w:rPr>
          <w:rFonts w:hint="eastAsia" w:ascii="楷体_GB2312" w:hAnsi="楷体_GB2312" w:eastAsia="楷体_GB2312" w:cs="楷体_GB2312"/>
          <w:b w:val="0"/>
          <w:bCs w:val="0"/>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eastAsia="zh-CN"/>
        </w:rPr>
        <w:t>充分发挥海峡两岸新旧动能转换产业合作区作用，立足济南北部产业腹地优势，</w:t>
      </w:r>
      <w:r>
        <w:rPr>
          <w:rFonts w:hint="eastAsia" w:ascii="仿宋_GB2312" w:hAnsi="仿宋_GB2312" w:eastAsia="仿宋_GB2312" w:cs="仿宋_GB2312"/>
          <w:color w:val="auto"/>
          <w:spacing w:val="0"/>
          <w:kern w:val="0"/>
          <w:sz w:val="32"/>
          <w:szCs w:val="32"/>
          <w:highlight w:val="none"/>
          <w:lang w:val="en-US" w:eastAsia="zh-CN"/>
        </w:rPr>
        <w:t>深度链接</w:t>
      </w:r>
      <w:r>
        <w:rPr>
          <w:rFonts w:hint="eastAsia" w:ascii="仿宋_GB2312" w:hAnsi="仿宋_GB2312" w:eastAsia="仿宋_GB2312" w:cs="仿宋_GB2312"/>
          <w:color w:val="auto"/>
          <w:spacing w:val="0"/>
          <w:kern w:val="0"/>
          <w:sz w:val="32"/>
          <w:szCs w:val="32"/>
          <w:highlight w:val="none"/>
          <w:lang w:eastAsia="zh-CN"/>
        </w:rPr>
        <w:t>济南新旧动能转换起步区、自贸试验区济南片区，主动承接台湾</w:t>
      </w:r>
      <w:r>
        <w:rPr>
          <w:rFonts w:hint="eastAsia" w:cs="仿宋_GB2312"/>
          <w:color w:val="auto"/>
          <w:spacing w:val="0"/>
          <w:kern w:val="0"/>
          <w:sz w:val="32"/>
          <w:szCs w:val="32"/>
          <w:highlight w:val="none"/>
          <w:lang w:val="en-US" w:eastAsia="zh-CN"/>
        </w:rPr>
        <w:t>地区</w:t>
      </w:r>
      <w:r>
        <w:rPr>
          <w:rFonts w:hint="eastAsia" w:ascii="仿宋_GB2312" w:hAnsi="仿宋_GB2312" w:eastAsia="仿宋_GB2312" w:cs="仿宋_GB2312"/>
          <w:color w:val="auto"/>
          <w:spacing w:val="0"/>
          <w:kern w:val="0"/>
          <w:sz w:val="32"/>
          <w:szCs w:val="32"/>
          <w:highlight w:val="none"/>
          <w:lang w:eastAsia="zh-CN"/>
        </w:rPr>
        <w:t>高端制造、现代农业、数字经济等优质资源，</w:t>
      </w:r>
      <w:r>
        <w:rPr>
          <w:rFonts w:hint="eastAsia" w:cs="仿宋_GB2312"/>
          <w:color w:val="auto"/>
          <w:spacing w:val="0"/>
          <w:kern w:val="0"/>
          <w:sz w:val="32"/>
          <w:szCs w:val="32"/>
          <w:highlight w:val="none"/>
          <w:lang w:val="en-US" w:eastAsia="zh-CN"/>
        </w:rPr>
        <w:t>加力推动</w:t>
      </w:r>
      <w:r>
        <w:rPr>
          <w:rFonts w:hint="eastAsia" w:ascii="仿宋_GB2312" w:hAnsi="仿宋_GB2312" w:eastAsia="仿宋_GB2312" w:cs="仿宋_GB2312"/>
          <w:color w:val="auto"/>
          <w:spacing w:val="0"/>
          <w:kern w:val="0"/>
          <w:sz w:val="32"/>
          <w:szCs w:val="32"/>
          <w:highlight w:val="none"/>
          <w:lang w:eastAsia="zh-CN"/>
        </w:rPr>
        <w:t>两岸中小企业技术对接、项目孵化，着力打造立足山东、辐射全国的对台经济合作优势平台、新旧动能转换创新平台、国家战略政策承接平台。</w:t>
      </w:r>
    </w:p>
    <w:p w14:paraId="6ED689D0">
      <w:pPr>
        <w:keepNext w:val="0"/>
        <w:keepLines w:val="0"/>
        <w:pageBreakBefore w:val="0"/>
        <w:widowControl w:val="0"/>
        <w:shd w:val="clear"/>
        <w:kinsoku/>
        <w:wordWrap/>
        <w:overflowPunct w:val="0"/>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b w:val="0"/>
          <w:bCs w:val="0"/>
          <w:color w:val="auto"/>
          <w:spacing w:val="0"/>
          <w:kern w:val="0"/>
          <w:sz w:val="32"/>
          <w:szCs w:val="32"/>
          <w:highlight w:val="none"/>
          <w:lang w:eastAsia="zh-CN"/>
        </w:rPr>
      </w:pPr>
      <w:r>
        <w:rPr>
          <w:rFonts w:hint="eastAsia" w:ascii="楷体_GB2312" w:hAnsi="楷体_GB2312" w:eastAsia="楷体_GB2312" w:cs="楷体_GB2312"/>
          <w:b w:val="0"/>
          <w:bCs w:val="0"/>
          <w:color w:val="auto"/>
          <w:spacing w:val="0"/>
          <w:kern w:val="0"/>
          <w:sz w:val="32"/>
          <w:szCs w:val="32"/>
          <w:highlight w:val="none"/>
          <w:lang w:eastAsia="zh-CN"/>
        </w:rPr>
        <w:t>——</w:t>
      </w:r>
      <w:r>
        <w:rPr>
          <w:rFonts w:hint="eastAsia" w:ascii="楷体_GB2312" w:hAnsi="楷体_GB2312" w:eastAsia="楷体_GB2312" w:cs="楷体_GB2312"/>
          <w:b w:val="0"/>
          <w:bCs w:val="0"/>
          <w:color w:val="auto"/>
          <w:spacing w:val="0"/>
          <w:kern w:val="0"/>
          <w:sz w:val="32"/>
          <w:szCs w:val="32"/>
          <w:highlight w:val="none"/>
        </w:rPr>
        <w:t>济南沿黄生态赋能发展示范区</w:t>
      </w:r>
      <w:r>
        <w:rPr>
          <w:rFonts w:hint="eastAsia" w:ascii="楷体_GB2312" w:hAnsi="楷体_GB2312" w:eastAsia="楷体_GB2312" w:cs="楷体_GB2312"/>
          <w:b w:val="0"/>
          <w:bCs w:val="0"/>
          <w:color w:val="auto"/>
          <w:spacing w:val="0"/>
          <w:kern w:val="0"/>
          <w:sz w:val="32"/>
          <w:szCs w:val="32"/>
          <w:highlight w:val="none"/>
          <w:lang w:eastAsia="zh-CN"/>
        </w:rPr>
        <w:t>。</w:t>
      </w:r>
      <w:r>
        <w:rPr>
          <w:rFonts w:hint="eastAsia" w:ascii="仿宋_GB2312" w:hAnsi="仿宋_GB2312" w:eastAsia="仿宋_GB2312" w:cs="仿宋_GB2312"/>
          <w:color w:val="auto"/>
          <w:sz w:val="32"/>
          <w:szCs w:val="32"/>
          <w:highlight w:val="none"/>
        </w:rPr>
        <w:t>全面贯彻落实黄河流域生态保护和高质量发展战略，</w:t>
      </w:r>
      <w:r>
        <w:rPr>
          <w:rFonts w:hint="eastAsia" w:ascii="仿宋_GB2312" w:hAnsi="仿宋_GB2312" w:eastAsia="仿宋_GB2312" w:cs="仿宋_GB2312"/>
          <w:b w:val="0"/>
          <w:bCs w:val="0"/>
          <w:color w:val="auto"/>
          <w:spacing w:val="0"/>
          <w:kern w:val="0"/>
          <w:sz w:val="32"/>
          <w:szCs w:val="32"/>
          <w:highlight w:val="none"/>
          <w:lang w:eastAsia="zh-CN"/>
        </w:rPr>
        <w:t>以黄河生态廊道建设为抓手</w:t>
      </w:r>
      <w:r>
        <w:rPr>
          <w:rFonts w:hint="eastAsia" w:cs="仿宋_GB2312"/>
          <w:b w:val="0"/>
          <w:bCs w:val="0"/>
          <w:color w:val="auto"/>
          <w:spacing w:val="0"/>
          <w:kern w:val="0"/>
          <w:sz w:val="32"/>
          <w:szCs w:val="32"/>
          <w:highlight w:val="none"/>
          <w:lang w:eastAsia="zh-CN"/>
        </w:rPr>
        <w:t>，</w:t>
      </w:r>
      <w:r>
        <w:rPr>
          <w:rFonts w:hint="eastAsia" w:cs="仿宋_GB2312"/>
          <w:i w:val="0"/>
          <w:iCs w:val="0"/>
          <w:caps w:val="0"/>
          <w:color w:val="auto"/>
          <w:spacing w:val="0"/>
          <w:sz w:val="32"/>
          <w:szCs w:val="32"/>
          <w:highlight w:val="none"/>
          <w:shd w:val="clear" w:fill="auto"/>
          <w:lang w:val="en-US" w:eastAsia="zh-CN"/>
        </w:rPr>
        <w:t>夯实</w:t>
      </w:r>
      <w:r>
        <w:rPr>
          <w:rFonts w:hint="eastAsia" w:ascii="仿宋_GB2312" w:hAnsi="仿宋_GB2312" w:eastAsia="仿宋_GB2312" w:cs="仿宋_GB2312"/>
          <w:i w:val="0"/>
          <w:iCs w:val="0"/>
          <w:caps w:val="0"/>
          <w:color w:val="auto"/>
          <w:spacing w:val="0"/>
          <w:sz w:val="32"/>
          <w:szCs w:val="32"/>
          <w:highlight w:val="none"/>
          <w:shd w:val="clear" w:fill="auto"/>
        </w:rPr>
        <w:t>生态本底，</w:t>
      </w:r>
      <w:r>
        <w:rPr>
          <w:rFonts w:ascii="仿宋_GB2312" w:hAnsi="宋体" w:eastAsia="仿宋_GB2312" w:cs="仿宋_GB2312"/>
          <w:color w:val="auto"/>
          <w:kern w:val="0"/>
          <w:sz w:val="32"/>
          <w:szCs w:val="32"/>
          <w:highlight w:val="none"/>
          <w:lang w:val="en-US" w:eastAsia="zh-CN" w:bidi="ar"/>
        </w:rPr>
        <w:t>探索黄河</w:t>
      </w:r>
      <w:r>
        <w:rPr>
          <w:rFonts w:hint="eastAsia" w:ascii="仿宋_GB2312" w:hAnsi="宋体" w:eastAsia="仿宋_GB2312" w:cs="仿宋_GB2312"/>
          <w:color w:val="auto"/>
          <w:kern w:val="0"/>
          <w:sz w:val="32"/>
          <w:szCs w:val="32"/>
          <w:highlight w:val="none"/>
          <w:lang w:val="en-US" w:eastAsia="zh-CN" w:bidi="ar"/>
        </w:rPr>
        <w:t>流域生态价值实现路径，</w:t>
      </w:r>
      <w:r>
        <w:rPr>
          <w:rFonts w:hint="eastAsia" w:ascii="仿宋_GB2312" w:hAnsi="仿宋_GB2312" w:eastAsia="仿宋_GB2312" w:cs="仿宋_GB2312"/>
          <w:b w:val="0"/>
          <w:bCs w:val="0"/>
          <w:color w:val="auto"/>
          <w:spacing w:val="0"/>
          <w:kern w:val="0"/>
          <w:sz w:val="32"/>
          <w:szCs w:val="32"/>
          <w:highlight w:val="none"/>
          <w:lang w:eastAsia="zh-CN"/>
        </w:rPr>
        <w:t>系统构建“生态屏障</w:t>
      </w:r>
      <w:r>
        <w:rPr>
          <w:rFonts w:hint="eastAsia" w:ascii="仿宋_GB2312" w:hAnsi="仿宋_GB2312" w:eastAsia="仿宋_GB2312" w:cs="仿宋_GB2312"/>
          <w:b w:val="0"/>
          <w:bCs w:val="0"/>
          <w:color w:val="auto"/>
          <w:spacing w:val="0"/>
          <w:kern w:val="0"/>
          <w:sz w:val="32"/>
          <w:szCs w:val="32"/>
          <w:highlight w:val="none"/>
          <w:lang w:val="en-US" w:eastAsia="zh-CN"/>
        </w:rPr>
        <w:t>＋</w:t>
      </w:r>
      <w:r>
        <w:rPr>
          <w:rFonts w:hint="eastAsia" w:ascii="仿宋_GB2312" w:hAnsi="仿宋_GB2312" w:eastAsia="仿宋_GB2312" w:cs="仿宋_GB2312"/>
          <w:b w:val="0"/>
          <w:bCs w:val="0"/>
          <w:color w:val="auto"/>
          <w:spacing w:val="0"/>
          <w:kern w:val="0"/>
          <w:sz w:val="32"/>
          <w:szCs w:val="32"/>
          <w:highlight w:val="none"/>
          <w:lang w:eastAsia="zh-CN"/>
        </w:rPr>
        <w:t>文旅融合</w:t>
      </w:r>
      <w:r>
        <w:rPr>
          <w:rFonts w:hint="eastAsia" w:ascii="仿宋_GB2312" w:hAnsi="仿宋_GB2312" w:eastAsia="仿宋_GB2312" w:cs="仿宋_GB2312"/>
          <w:b w:val="0"/>
          <w:bCs w:val="0"/>
          <w:color w:val="auto"/>
          <w:spacing w:val="0"/>
          <w:kern w:val="0"/>
          <w:sz w:val="32"/>
          <w:szCs w:val="32"/>
          <w:highlight w:val="none"/>
          <w:lang w:val="en-US" w:eastAsia="zh-CN"/>
        </w:rPr>
        <w:t>＋</w:t>
      </w:r>
      <w:r>
        <w:rPr>
          <w:rFonts w:hint="eastAsia" w:ascii="仿宋_GB2312" w:hAnsi="仿宋_GB2312" w:eastAsia="仿宋_GB2312" w:cs="仿宋_GB2312"/>
          <w:b w:val="0"/>
          <w:bCs w:val="0"/>
          <w:color w:val="auto"/>
          <w:spacing w:val="0"/>
          <w:kern w:val="0"/>
          <w:sz w:val="32"/>
          <w:szCs w:val="32"/>
          <w:highlight w:val="none"/>
          <w:lang w:eastAsia="zh-CN"/>
        </w:rPr>
        <w:t>绿色产业”三位一体发展模式，</w:t>
      </w:r>
      <w:r>
        <w:rPr>
          <w:rFonts w:hint="eastAsia" w:ascii="仿宋_GB2312" w:hAnsi="仿宋_GB2312" w:eastAsia="仿宋_GB2312" w:cs="仿宋_GB2312"/>
          <w:b w:val="0"/>
          <w:bCs w:val="0"/>
          <w:color w:val="auto"/>
          <w:spacing w:val="0"/>
          <w:kern w:val="0"/>
          <w:sz w:val="32"/>
          <w:szCs w:val="32"/>
          <w:highlight w:val="none"/>
          <w:lang w:val="en-US" w:eastAsia="zh-CN"/>
        </w:rPr>
        <w:t>大力</w:t>
      </w:r>
      <w:r>
        <w:rPr>
          <w:rFonts w:hint="eastAsia" w:ascii="仿宋_GB2312" w:hAnsi="仿宋_GB2312" w:eastAsia="仿宋_GB2312" w:cs="仿宋_GB2312"/>
          <w:b w:val="0"/>
          <w:bCs w:val="0"/>
          <w:color w:val="auto"/>
          <w:spacing w:val="0"/>
          <w:kern w:val="0"/>
          <w:sz w:val="32"/>
          <w:szCs w:val="32"/>
          <w:highlight w:val="none"/>
          <w:lang w:eastAsia="zh-CN"/>
        </w:rPr>
        <w:t>培育黄河文化研学、生态康养、低碳农业等新业态，实现“生态美”与“产业兴”良性循环，努力在沿黄地区生态赋能高质量发展中形成实践范例。</w:t>
      </w:r>
    </w:p>
    <w:p w14:paraId="44F49777">
      <w:pPr>
        <w:keepNext w:val="0"/>
        <w:keepLines w:val="0"/>
        <w:pageBreakBefore w:val="0"/>
        <w:shd w:val="clear"/>
        <w:kinsoku/>
        <w:wordWrap/>
        <w:topLinePunct w:val="0"/>
        <w:autoSpaceDE/>
        <w:autoSpaceDN/>
        <w:bidi w:val="0"/>
        <w:jc w:val="both"/>
        <w:textAlignment w:val="auto"/>
        <w:rPr>
          <w:rFonts w:hint="eastAsia"/>
          <w:color w:val="auto"/>
          <w:highlight w:val="none"/>
          <w:lang w:eastAsia="zh-CN"/>
        </w:rPr>
      </w:pPr>
      <w:r>
        <w:rPr>
          <w:rFonts w:hint="eastAsia" w:ascii="楷体_GB2312" w:hAnsi="楷体_GB2312" w:eastAsia="楷体_GB2312" w:cs="楷体_GB2312"/>
          <w:b w:val="0"/>
          <w:bCs w:val="0"/>
          <w:color w:val="auto"/>
          <w:spacing w:val="0"/>
          <w:kern w:val="0"/>
          <w:sz w:val="32"/>
          <w:szCs w:val="32"/>
          <w:highlight w:val="none"/>
          <w:lang w:eastAsia="zh-CN"/>
        </w:rPr>
        <w:t>——</w:t>
      </w:r>
      <w:r>
        <w:rPr>
          <w:rFonts w:hint="eastAsia" w:ascii="楷体_GB2312" w:hAnsi="楷体_GB2312" w:eastAsia="楷体_GB2312" w:cs="楷体_GB2312"/>
          <w:b w:val="0"/>
          <w:bCs w:val="0"/>
          <w:color w:val="auto"/>
          <w:spacing w:val="0"/>
          <w:kern w:val="0"/>
          <w:sz w:val="32"/>
          <w:szCs w:val="32"/>
          <w:highlight w:val="none"/>
        </w:rPr>
        <w:t>济南主城北部</w:t>
      </w:r>
      <w:r>
        <w:rPr>
          <w:rFonts w:hint="eastAsia" w:ascii="楷体_GB2312" w:hAnsi="楷体_GB2312" w:eastAsia="楷体_GB2312" w:cs="楷体_GB2312"/>
          <w:b w:val="0"/>
          <w:bCs w:val="0"/>
          <w:color w:val="auto"/>
          <w:spacing w:val="0"/>
          <w:kern w:val="0"/>
          <w:sz w:val="32"/>
          <w:szCs w:val="32"/>
          <w:highlight w:val="none"/>
          <w:lang w:val="en-US" w:eastAsia="zh-CN"/>
        </w:rPr>
        <w:t>产城融合与都市生态农业发展示范区。</w:t>
      </w:r>
      <w:r>
        <w:rPr>
          <w:rFonts w:hint="eastAsia" w:ascii="仿宋_GB2312" w:hAnsi="仿宋_GB2312" w:eastAsia="仿宋_GB2312" w:cs="仿宋_GB2312"/>
          <w:b w:val="0"/>
          <w:bCs w:val="0"/>
          <w:color w:val="auto"/>
          <w:spacing w:val="0"/>
          <w:kern w:val="0"/>
          <w:sz w:val="32"/>
          <w:szCs w:val="32"/>
          <w:highlight w:val="none"/>
          <w:lang w:val="en-US" w:eastAsia="zh-CN"/>
        </w:rPr>
        <w:t>发挥</w:t>
      </w:r>
      <w:r>
        <w:rPr>
          <w:rFonts w:hint="eastAsia" w:ascii="仿宋_GB2312" w:hAnsi="仿宋_GB2312" w:eastAsia="仿宋_GB2312" w:cs="仿宋_GB2312"/>
          <w:b w:val="0"/>
          <w:bCs w:val="0"/>
          <w:color w:val="auto"/>
          <w:spacing w:val="0"/>
          <w:kern w:val="0"/>
          <w:sz w:val="32"/>
          <w:szCs w:val="32"/>
          <w:highlight w:val="none"/>
          <w:lang w:eastAsia="zh-CN"/>
        </w:rPr>
        <w:t>紧邻济南</w:t>
      </w:r>
      <w:r>
        <w:rPr>
          <w:rFonts w:hint="eastAsia" w:cs="仿宋_GB2312"/>
          <w:b w:val="0"/>
          <w:bCs w:val="0"/>
          <w:color w:val="auto"/>
          <w:spacing w:val="0"/>
          <w:kern w:val="0"/>
          <w:sz w:val="32"/>
          <w:szCs w:val="32"/>
          <w:highlight w:val="none"/>
          <w:lang w:val="en-US" w:eastAsia="zh-CN"/>
        </w:rPr>
        <w:t>中心城区</w:t>
      </w:r>
      <w:r>
        <w:rPr>
          <w:rFonts w:hint="eastAsia" w:ascii="仿宋_GB2312" w:hAnsi="仿宋_GB2312" w:eastAsia="仿宋_GB2312" w:cs="仿宋_GB2312"/>
          <w:b w:val="0"/>
          <w:bCs w:val="0"/>
          <w:color w:val="auto"/>
          <w:spacing w:val="0"/>
          <w:kern w:val="0"/>
          <w:sz w:val="32"/>
          <w:szCs w:val="32"/>
          <w:highlight w:val="none"/>
          <w:lang w:eastAsia="zh-CN"/>
        </w:rPr>
        <w:t>的区位优势，</w:t>
      </w:r>
      <w:r>
        <w:rPr>
          <w:rFonts w:hint="eastAsia" w:ascii="仿宋_GB2312" w:hAnsi="仿宋_GB2312" w:eastAsia="仿宋_GB2312" w:cs="仿宋_GB2312"/>
          <w:b w:val="0"/>
          <w:bCs w:val="0"/>
          <w:color w:val="auto"/>
          <w:spacing w:val="0"/>
          <w:kern w:val="0"/>
          <w:sz w:val="32"/>
          <w:szCs w:val="32"/>
          <w:highlight w:val="none"/>
          <w:lang w:val="en-US" w:eastAsia="zh-CN"/>
        </w:rPr>
        <w:t>主动</w:t>
      </w:r>
      <w:r>
        <w:rPr>
          <w:rFonts w:hint="eastAsia" w:ascii="仿宋_GB2312" w:hAnsi="仿宋_GB2312" w:eastAsia="仿宋_GB2312" w:cs="仿宋_GB2312"/>
          <w:b w:val="0"/>
          <w:bCs w:val="0"/>
          <w:color w:val="auto"/>
          <w:spacing w:val="0"/>
          <w:kern w:val="0"/>
          <w:sz w:val="32"/>
          <w:szCs w:val="32"/>
          <w:highlight w:val="none"/>
          <w:lang w:eastAsia="zh-CN"/>
        </w:rPr>
        <w:t>承接</w:t>
      </w:r>
      <w:r>
        <w:rPr>
          <w:rFonts w:hint="eastAsia" w:cs="仿宋_GB2312"/>
          <w:b w:val="0"/>
          <w:bCs w:val="0"/>
          <w:color w:val="auto"/>
          <w:spacing w:val="0"/>
          <w:kern w:val="0"/>
          <w:sz w:val="32"/>
          <w:szCs w:val="32"/>
          <w:highlight w:val="none"/>
          <w:lang w:val="en-US" w:eastAsia="zh-CN"/>
        </w:rPr>
        <w:t>中心城区</w:t>
      </w:r>
      <w:r>
        <w:rPr>
          <w:rFonts w:hint="eastAsia" w:ascii="仿宋_GB2312" w:hAnsi="仿宋_GB2312" w:eastAsia="仿宋_GB2312" w:cs="仿宋_GB2312"/>
          <w:b w:val="0"/>
          <w:bCs w:val="0"/>
          <w:color w:val="auto"/>
          <w:spacing w:val="0"/>
          <w:kern w:val="0"/>
          <w:sz w:val="32"/>
          <w:szCs w:val="32"/>
          <w:highlight w:val="none"/>
          <w:lang w:eastAsia="zh-CN"/>
        </w:rPr>
        <w:t>先进制造业、现代服务业外溢资源，推动产业园区与城市配套同步规划，打造职住平衡、功能完善的北部新城；聚焦城市居民对高品质农产品和乡村休闲的需求，发展有机种植、采摘体验、农旅融合等业态，构建“城依农而美、农借城而兴”的城乡融合发展格局，着力建设成为主城功能外溢的承接功能区与都市农业创新发展的实践区。</w:t>
      </w:r>
    </w:p>
    <w:p w14:paraId="4A5EF3BD">
      <w:pPr>
        <w:keepNext w:val="0"/>
        <w:keepLines w:val="0"/>
        <w:pageBreakBefore w:val="0"/>
        <w:widowControl w:val="0"/>
        <w:shd w:val="clear"/>
        <w:kinsoku/>
        <w:wordWrap/>
        <w:topLinePunct w:val="0"/>
        <w:autoSpaceDE/>
        <w:autoSpaceDN/>
        <w:bidi w:val="0"/>
        <w:adjustRightInd/>
        <w:snapToGrid/>
        <w:spacing w:beforeLines="0" w:afterLines="0" w:line="600" w:lineRule="exact"/>
        <w:ind w:firstLine="640" w:firstLineChars="200"/>
        <w:jc w:val="both"/>
        <w:textAlignment w:val="auto"/>
        <w:outlineLvl w:val="1"/>
        <w:rPr>
          <w:rFonts w:hint="eastAsia" w:ascii="黑体" w:hAnsi="黑体" w:eastAsia="黑体" w:cs="黑体"/>
          <w:color w:val="auto"/>
          <w:spacing w:val="0"/>
          <w:sz w:val="32"/>
          <w:highlight w:val="none"/>
          <w:lang w:val="en-US" w:eastAsia="zh-CN"/>
        </w:rPr>
      </w:pPr>
      <w:bookmarkStart w:id="45" w:name="_Toc30804"/>
      <w:bookmarkStart w:id="46" w:name="_Toc18122"/>
      <w:r>
        <w:rPr>
          <w:rFonts w:hint="eastAsia" w:ascii="黑体" w:hAnsi="黑体" w:eastAsia="黑体" w:cs="黑体"/>
          <w:color w:val="auto"/>
          <w:spacing w:val="0"/>
          <w:sz w:val="32"/>
          <w:highlight w:val="none"/>
          <w:lang w:val="en-US" w:eastAsia="zh-CN"/>
        </w:rPr>
        <w:t>五、目标愿景</w:t>
      </w:r>
      <w:bookmarkEnd w:id="39"/>
      <w:bookmarkEnd w:id="40"/>
      <w:bookmarkEnd w:id="41"/>
      <w:bookmarkEnd w:id="42"/>
      <w:bookmarkEnd w:id="43"/>
      <w:bookmarkEnd w:id="44"/>
      <w:bookmarkEnd w:id="45"/>
      <w:bookmarkEnd w:id="46"/>
    </w:p>
    <w:p w14:paraId="121AFDCA">
      <w:pPr>
        <w:keepNext w:val="0"/>
        <w:keepLines w:val="0"/>
        <w:pageBreakBefore w:val="0"/>
        <w:widowControl w:val="0"/>
        <w:shd w:val="clear"/>
        <w:kinsoku/>
        <w:wordWrap/>
        <w:overflowPunct w:val="0"/>
        <w:topLinePunct w:val="0"/>
        <w:autoSpaceDE/>
        <w:autoSpaceDN/>
        <w:bidi w:val="0"/>
        <w:adjustRightInd w:val="0"/>
        <w:snapToGrid w:val="0"/>
        <w:spacing w:beforeLines="0" w:beforeAutospacing="0" w:afterLines="0" w:afterAutospacing="0" w:line="600" w:lineRule="exact"/>
        <w:ind w:firstLine="640" w:firstLineChars="200"/>
        <w:jc w:val="both"/>
        <w:textAlignment w:val="auto"/>
        <w:outlineLvl w:val="9"/>
        <w:rPr>
          <w:rFonts w:hint="eastAsia" w:ascii="仿宋_GB2312" w:hAnsi="仿宋_GB2312" w:eastAsia="仿宋_GB2312"/>
          <w:b w:val="0"/>
          <w:bCs w:val="0"/>
          <w:color w:val="auto"/>
          <w:spacing w:val="0"/>
          <w:kern w:val="0"/>
          <w:sz w:val="32"/>
          <w:szCs w:val="32"/>
          <w:highlight w:val="none"/>
          <w:lang w:val="en-US" w:eastAsia="zh-CN"/>
        </w:rPr>
      </w:pPr>
      <w:r>
        <w:rPr>
          <w:rFonts w:hint="eastAsia" w:ascii="仿宋_GB2312" w:hAnsi="仿宋_GB2312" w:eastAsia="仿宋_GB2312"/>
          <w:b w:val="0"/>
          <w:bCs w:val="0"/>
          <w:color w:val="auto"/>
          <w:spacing w:val="0"/>
          <w:kern w:val="0"/>
          <w:sz w:val="32"/>
          <w:szCs w:val="32"/>
          <w:highlight w:val="none"/>
          <w:lang w:val="en-US" w:eastAsia="zh-CN"/>
        </w:rPr>
        <w:t>经过五年接续奋斗，全面贯彻落实国家、省</w:t>
      </w:r>
      <w:r>
        <w:rPr>
          <w:rFonts w:hint="eastAsia"/>
          <w:b w:val="0"/>
          <w:bCs w:val="0"/>
          <w:color w:val="auto"/>
          <w:spacing w:val="0"/>
          <w:kern w:val="0"/>
          <w:sz w:val="32"/>
          <w:szCs w:val="32"/>
          <w:highlight w:val="none"/>
          <w:lang w:val="en-US" w:eastAsia="zh-CN"/>
        </w:rPr>
        <w:t>、市</w:t>
      </w:r>
      <w:r>
        <w:rPr>
          <w:rFonts w:hint="eastAsia" w:ascii="仿宋_GB2312" w:hAnsi="仿宋_GB2312" w:eastAsia="仿宋_GB2312"/>
          <w:b w:val="0"/>
          <w:bCs w:val="0"/>
          <w:color w:val="auto"/>
          <w:spacing w:val="0"/>
          <w:kern w:val="0"/>
          <w:sz w:val="32"/>
          <w:szCs w:val="32"/>
          <w:highlight w:val="none"/>
          <w:lang w:val="en-US" w:eastAsia="zh-CN"/>
        </w:rPr>
        <w:t>重大战略任务取得开创性进展、突破性变革、历史性成就，在增强综合实力、转变发展方式、提升城市品质、增进民生福祉、改善生态环境、提高治理水平等方面取得突破性进展，海峡两岸新旧动能转换产业合作高地</w:t>
      </w:r>
      <w:r>
        <w:rPr>
          <w:rFonts w:hint="eastAsia"/>
          <w:b w:val="0"/>
          <w:bCs w:val="0"/>
          <w:color w:val="auto"/>
          <w:spacing w:val="0"/>
          <w:kern w:val="0"/>
          <w:sz w:val="32"/>
          <w:szCs w:val="32"/>
          <w:highlight w:val="none"/>
          <w:lang w:val="en-US" w:eastAsia="zh-CN"/>
        </w:rPr>
        <w:t>、</w:t>
      </w:r>
      <w:r>
        <w:rPr>
          <w:rFonts w:hint="eastAsia" w:ascii="仿宋_GB2312" w:hAnsi="仿宋_GB2312" w:eastAsia="仿宋_GB2312"/>
          <w:b w:val="0"/>
          <w:bCs w:val="0"/>
          <w:color w:val="auto"/>
          <w:spacing w:val="0"/>
          <w:kern w:val="0"/>
          <w:sz w:val="32"/>
          <w:szCs w:val="32"/>
          <w:highlight w:val="none"/>
          <w:lang w:val="en-US" w:eastAsia="zh-CN"/>
        </w:rPr>
        <w:t>济南沿黄生态赋能发展示范区</w:t>
      </w:r>
      <w:r>
        <w:rPr>
          <w:rFonts w:hint="eastAsia"/>
          <w:b w:val="0"/>
          <w:bCs w:val="0"/>
          <w:color w:val="auto"/>
          <w:spacing w:val="0"/>
          <w:kern w:val="0"/>
          <w:sz w:val="32"/>
          <w:szCs w:val="32"/>
          <w:highlight w:val="none"/>
          <w:lang w:val="en-US" w:eastAsia="zh-CN"/>
        </w:rPr>
        <w:t>、</w:t>
      </w:r>
      <w:r>
        <w:rPr>
          <w:rFonts w:hint="eastAsia" w:ascii="仿宋_GB2312" w:hAnsi="仿宋_GB2312" w:eastAsia="仿宋_GB2312"/>
          <w:b w:val="0"/>
          <w:bCs w:val="0"/>
          <w:color w:val="auto"/>
          <w:spacing w:val="0"/>
          <w:kern w:val="0"/>
          <w:sz w:val="32"/>
          <w:szCs w:val="32"/>
          <w:highlight w:val="none"/>
          <w:lang w:val="en-US" w:eastAsia="zh-CN"/>
        </w:rPr>
        <w:t>济南主城北部产城融合与都市生态农业发展示范区建设取得标志性成果，高质量北部中心城区建设取得新的更大成就。</w:t>
      </w:r>
    </w:p>
    <w:p w14:paraId="547A1EDA">
      <w:pPr>
        <w:keepNext w:val="0"/>
        <w:keepLines w:val="0"/>
        <w:pageBreakBefore w:val="0"/>
        <w:widowControl w:val="0"/>
        <w:shd w:val="clear"/>
        <w:kinsoku/>
        <w:wordWrap/>
        <w:overflowPunct w:val="0"/>
        <w:topLinePunct w:val="0"/>
        <w:autoSpaceDE/>
        <w:autoSpaceDN/>
        <w:bidi w:val="0"/>
        <w:adjustRightInd w:val="0"/>
        <w:snapToGrid w:val="0"/>
        <w:spacing w:beforeLines="0" w:beforeAutospacing="0" w:afterLines="0" w:afterAutospacing="0" w:line="600" w:lineRule="exact"/>
        <w:ind w:firstLine="640" w:firstLineChars="200"/>
        <w:jc w:val="both"/>
        <w:textAlignment w:val="auto"/>
        <w:outlineLvl w:val="9"/>
        <w:rPr>
          <w:rFonts w:hint="eastAsia" w:ascii="仿宋_GB2312" w:hAnsi="仿宋_GB2312" w:eastAsia="仿宋_GB2312"/>
          <w:b w:val="0"/>
          <w:bCs w:val="0"/>
          <w:color w:val="auto"/>
          <w:spacing w:val="0"/>
          <w:kern w:val="0"/>
          <w:sz w:val="32"/>
          <w:szCs w:val="32"/>
          <w:highlight w:val="none"/>
          <w:lang w:val="en-US" w:eastAsia="zh-CN"/>
        </w:rPr>
      </w:pPr>
      <w:r>
        <w:rPr>
          <w:rFonts w:hint="eastAsia" w:ascii="楷体_GB2312" w:hAnsi="楷体_GB2312" w:eastAsia="楷体_GB2312" w:cs="楷体_GB2312"/>
          <w:b w:val="0"/>
          <w:bCs w:val="0"/>
          <w:color w:val="auto"/>
          <w:spacing w:val="0"/>
          <w:kern w:val="0"/>
          <w:sz w:val="32"/>
          <w:szCs w:val="32"/>
          <w:highlight w:val="none"/>
          <w:lang w:val="en-US" w:eastAsia="zh-CN"/>
        </w:rPr>
        <w:t>经济实力迈上新台阶。</w:t>
      </w:r>
      <w:r>
        <w:rPr>
          <w:rFonts w:hint="eastAsia"/>
          <w:b w:val="0"/>
          <w:bCs w:val="0"/>
          <w:color w:val="auto"/>
          <w:spacing w:val="0"/>
          <w:kern w:val="0"/>
          <w:sz w:val="32"/>
          <w:szCs w:val="32"/>
          <w:highlight w:val="none"/>
          <w:lang w:val="en-US" w:eastAsia="zh-CN"/>
        </w:rPr>
        <w:t>推动</w:t>
      </w:r>
      <w:r>
        <w:rPr>
          <w:rFonts w:hint="eastAsia" w:ascii="仿宋_GB2312" w:hAnsi="仿宋_GB2312" w:eastAsia="仿宋_GB2312" w:cs="仿宋_GB2312"/>
          <w:b w:val="0"/>
          <w:bCs w:val="0"/>
          <w:color w:val="auto"/>
          <w:spacing w:val="0"/>
          <w:kern w:val="0"/>
          <w:sz w:val="32"/>
          <w:szCs w:val="32"/>
          <w:highlight w:val="none"/>
          <w:lang w:val="en-US" w:eastAsia="zh-CN"/>
        </w:rPr>
        <w:t>经济实现质的有效提升和量的合理增长，</w:t>
      </w:r>
      <w:r>
        <w:rPr>
          <w:rFonts w:hint="eastAsia" w:ascii="仿宋_GB2312" w:hAnsi="仿宋_GB2312" w:eastAsia="仿宋_GB2312"/>
          <w:b w:val="0"/>
          <w:bCs w:val="0"/>
          <w:color w:val="auto"/>
          <w:spacing w:val="0"/>
          <w:kern w:val="0"/>
          <w:sz w:val="32"/>
          <w:szCs w:val="32"/>
          <w:highlight w:val="none"/>
          <w:lang w:val="en-US" w:eastAsia="zh-CN"/>
        </w:rPr>
        <w:t>地区生产总值年均增长</w:t>
      </w:r>
      <w:r>
        <w:rPr>
          <w:rFonts w:hint="eastAsia"/>
          <w:b w:val="0"/>
          <w:bCs w:val="0"/>
          <w:color w:val="auto"/>
          <w:spacing w:val="0"/>
          <w:kern w:val="0"/>
          <w:sz w:val="32"/>
          <w:szCs w:val="32"/>
          <w:highlight w:val="none"/>
          <w:lang w:val="en-US" w:eastAsia="zh-CN"/>
        </w:rPr>
        <w:t>5</w:t>
      </w:r>
      <w:r>
        <w:rPr>
          <w:rFonts w:hint="eastAsia" w:ascii="仿宋_GB2312" w:hAnsi="仿宋_GB2312" w:eastAsia="仿宋_GB2312"/>
          <w:b w:val="0"/>
          <w:bCs w:val="0"/>
          <w:color w:val="auto"/>
          <w:spacing w:val="0"/>
          <w:kern w:val="0"/>
          <w:sz w:val="32"/>
          <w:szCs w:val="32"/>
          <w:highlight w:val="none"/>
          <w:lang w:val="en-US" w:eastAsia="zh-CN"/>
        </w:rPr>
        <w:t>%左右。内需对经济增长的主动力作用显著增强，消费拉动潜力充分释放，全社会消费品零售总额年均增长</w:t>
      </w:r>
      <w:r>
        <w:rPr>
          <w:rFonts w:hint="eastAsia"/>
          <w:b w:val="0"/>
          <w:bCs w:val="0"/>
          <w:color w:val="auto"/>
          <w:spacing w:val="0"/>
          <w:kern w:val="0"/>
          <w:sz w:val="32"/>
          <w:szCs w:val="32"/>
          <w:highlight w:val="none"/>
          <w:lang w:val="en-US" w:eastAsia="zh-CN"/>
        </w:rPr>
        <w:t>5</w:t>
      </w:r>
      <w:r>
        <w:rPr>
          <w:rFonts w:hint="eastAsia" w:ascii="仿宋_GB2312" w:hAnsi="仿宋_GB2312" w:eastAsia="仿宋_GB2312"/>
          <w:b w:val="0"/>
          <w:bCs w:val="0"/>
          <w:color w:val="auto"/>
          <w:spacing w:val="0"/>
          <w:kern w:val="0"/>
          <w:sz w:val="32"/>
          <w:szCs w:val="32"/>
          <w:highlight w:val="none"/>
          <w:lang w:val="en-US" w:eastAsia="zh-CN"/>
        </w:rPr>
        <w:t>%</w:t>
      </w:r>
      <w:r>
        <w:rPr>
          <w:rFonts w:hint="eastAsia"/>
          <w:b w:val="0"/>
          <w:bCs w:val="0"/>
          <w:color w:val="auto"/>
          <w:spacing w:val="0"/>
          <w:kern w:val="0"/>
          <w:sz w:val="32"/>
          <w:szCs w:val="32"/>
          <w:highlight w:val="none"/>
          <w:lang w:val="en-US" w:eastAsia="zh-CN"/>
        </w:rPr>
        <w:t>左右</w:t>
      </w:r>
      <w:r>
        <w:rPr>
          <w:rFonts w:hint="eastAsia" w:ascii="仿宋_GB2312" w:hAnsi="仿宋_GB2312" w:eastAsia="仿宋_GB2312"/>
          <w:b w:val="0"/>
          <w:bCs w:val="0"/>
          <w:color w:val="auto"/>
          <w:spacing w:val="0"/>
          <w:kern w:val="0"/>
          <w:sz w:val="32"/>
          <w:szCs w:val="32"/>
          <w:highlight w:val="none"/>
          <w:lang w:val="en-US" w:eastAsia="zh-CN"/>
        </w:rPr>
        <w:t>。推动新质生产力成为经济增长重要引擎，现代化产业体系持续向优向新，聚力打造人才荟萃、万众创新、百业兴隆新济阳。</w:t>
      </w:r>
    </w:p>
    <w:p w14:paraId="697B327F">
      <w:pPr>
        <w:keepNext w:val="0"/>
        <w:keepLines w:val="0"/>
        <w:pageBreakBefore w:val="0"/>
        <w:widowControl w:val="0"/>
        <w:shd w:val="clear"/>
        <w:kinsoku/>
        <w:wordWrap/>
        <w:overflowPunct w:val="0"/>
        <w:topLinePunct w:val="0"/>
        <w:autoSpaceDE/>
        <w:autoSpaceDN/>
        <w:bidi w:val="0"/>
        <w:adjustRightInd w:val="0"/>
        <w:snapToGrid w:val="0"/>
        <w:spacing w:beforeLines="0" w:beforeAutospacing="0" w:afterLines="0" w:afterAutospacing="0" w:line="600" w:lineRule="exact"/>
        <w:ind w:firstLine="640" w:firstLineChars="200"/>
        <w:jc w:val="both"/>
        <w:textAlignment w:val="auto"/>
        <w:outlineLvl w:val="9"/>
        <w:rPr>
          <w:rFonts w:hint="eastAsia" w:ascii="仿宋_GB2312" w:hAnsi="仿宋_GB2312" w:eastAsia="仿宋_GB2312"/>
          <w:b w:val="0"/>
          <w:bCs w:val="0"/>
          <w:color w:val="auto"/>
          <w:spacing w:val="0"/>
          <w:kern w:val="0"/>
          <w:sz w:val="32"/>
          <w:szCs w:val="32"/>
          <w:highlight w:val="none"/>
          <w:lang w:val="en-US" w:eastAsia="zh-CN"/>
        </w:rPr>
      </w:pPr>
      <w:r>
        <w:rPr>
          <w:rFonts w:hint="eastAsia" w:ascii="楷体_GB2312" w:hAnsi="楷体_GB2312" w:eastAsia="楷体_GB2312" w:cs="楷体_GB2312"/>
          <w:b w:val="0"/>
          <w:bCs w:val="0"/>
          <w:color w:val="auto"/>
          <w:spacing w:val="0"/>
          <w:kern w:val="0"/>
          <w:sz w:val="32"/>
          <w:szCs w:val="32"/>
          <w:highlight w:val="none"/>
          <w:lang w:val="en-US" w:eastAsia="zh-CN"/>
        </w:rPr>
        <w:t>动能转换实现新突破。</w:t>
      </w:r>
      <w:r>
        <w:rPr>
          <w:rFonts w:hint="eastAsia" w:ascii="仿宋_GB2312" w:hAnsi="仿宋_GB2312" w:eastAsia="仿宋_GB2312"/>
          <w:b w:val="0"/>
          <w:bCs w:val="0"/>
          <w:color w:val="auto"/>
          <w:spacing w:val="0"/>
          <w:kern w:val="0"/>
          <w:sz w:val="32"/>
          <w:szCs w:val="32"/>
          <w:highlight w:val="none"/>
          <w:lang w:val="en-US" w:eastAsia="zh-CN"/>
        </w:rPr>
        <w:t>创新驱动发展战略深入实施，科技创新和产业创新深度融合，产业竞争力明显提高，企业创新主体地位持续巩固，人才创新活力充分激发，全社会研发经费投入强度达到2%，济南北部科创资源集聚</w:t>
      </w:r>
      <w:r>
        <w:rPr>
          <w:rFonts w:hint="eastAsia"/>
          <w:b w:val="0"/>
          <w:bCs w:val="0"/>
          <w:color w:val="auto"/>
          <w:spacing w:val="0"/>
          <w:kern w:val="0"/>
          <w:sz w:val="32"/>
          <w:szCs w:val="32"/>
          <w:highlight w:val="none"/>
          <w:lang w:val="en-US" w:eastAsia="zh-CN"/>
        </w:rPr>
        <w:t>区</w:t>
      </w:r>
      <w:r>
        <w:rPr>
          <w:rFonts w:hint="eastAsia" w:ascii="仿宋_GB2312" w:hAnsi="仿宋_GB2312" w:eastAsia="仿宋_GB2312"/>
          <w:b w:val="0"/>
          <w:bCs w:val="0"/>
          <w:color w:val="auto"/>
          <w:spacing w:val="0"/>
          <w:kern w:val="0"/>
          <w:sz w:val="32"/>
          <w:szCs w:val="32"/>
          <w:highlight w:val="none"/>
          <w:lang w:val="en-US" w:eastAsia="zh-CN"/>
        </w:rPr>
        <w:t>建设取得明显成效</w:t>
      </w:r>
      <w:r>
        <w:rPr>
          <w:rFonts w:hint="eastAsia"/>
          <w:b w:val="0"/>
          <w:bCs w:val="0"/>
          <w:color w:val="auto"/>
          <w:spacing w:val="0"/>
          <w:kern w:val="0"/>
          <w:sz w:val="32"/>
          <w:szCs w:val="32"/>
          <w:highlight w:val="none"/>
          <w:lang w:val="en-US" w:eastAsia="zh-CN"/>
        </w:rPr>
        <w:t>，以先进制造业为骨干的现代化产业体系基本形成</w:t>
      </w:r>
      <w:r>
        <w:rPr>
          <w:rFonts w:hint="eastAsia" w:ascii="仿宋_GB2312" w:hAnsi="仿宋_GB2312" w:eastAsia="仿宋_GB2312"/>
          <w:b w:val="0"/>
          <w:bCs w:val="0"/>
          <w:color w:val="auto"/>
          <w:spacing w:val="0"/>
          <w:kern w:val="0"/>
          <w:sz w:val="32"/>
          <w:szCs w:val="32"/>
          <w:highlight w:val="none"/>
          <w:lang w:val="en-US" w:eastAsia="zh-CN"/>
        </w:rPr>
        <w:t>。</w:t>
      </w:r>
    </w:p>
    <w:p w14:paraId="204B3560">
      <w:pPr>
        <w:keepNext w:val="0"/>
        <w:keepLines w:val="0"/>
        <w:pageBreakBefore w:val="0"/>
        <w:widowControl w:val="0"/>
        <w:shd w:val="clear"/>
        <w:kinsoku/>
        <w:wordWrap/>
        <w:overflowPunct w:val="0"/>
        <w:topLinePunct w:val="0"/>
        <w:autoSpaceDE/>
        <w:autoSpaceDN/>
        <w:bidi w:val="0"/>
        <w:adjustRightInd w:val="0"/>
        <w:snapToGrid w:val="0"/>
        <w:spacing w:beforeLines="0" w:beforeAutospacing="0" w:afterLines="0" w:afterAutospacing="0" w:line="600" w:lineRule="exact"/>
        <w:ind w:firstLine="640" w:firstLineChars="200"/>
        <w:jc w:val="both"/>
        <w:textAlignment w:val="auto"/>
        <w:outlineLvl w:val="9"/>
        <w:rPr>
          <w:rFonts w:hint="eastAsia" w:ascii="仿宋_GB2312" w:hAnsi="仿宋_GB2312" w:eastAsia="仿宋_GB2312"/>
          <w:b w:val="0"/>
          <w:bCs w:val="0"/>
          <w:color w:val="auto"/>
          <w:spacing w:val="0"/>
          <w:kern w:val="0"/>
          <w:sz w:val="32"/>
          <w:szCs w:val="32"/>
          <w:highlight w:val="none"/>
          <w:lang w:val="en-US" w:eastAsia="zh-CN"/>
        </w:rPr>
      </w:pPr>
      <w:r>
        <w:rPr>
          <w:rFonts w:hint="eastAsia" w:ascii="楷体_GB2312" w:hAnsi="楷体_GB2312" w:eastAsia="楷体_GB2312" w:cs="楷体_GB2312"/>
          <w:b w:val="0"/>
          <w:bCs w:val="0"/>
          <w:color w:val="auto"/>
          <w:spacing w:val="0"/>
          <w:kern w:val="0"/>
          <w:sz w:val="32"/>
          <w:szCs w:val="32"/>
          <w:highlight w:val="none"/>
          <w:lang w:val="en-US" w:eastAsia="zh-CN"/>
        </w:rPr>
        <w:t>改革开放迈出新步伐。</w:t>
      </w:r>
      <w:r>
        <w:rPr>
          <w:rFonts w:hint="eastAsia" w:ascii="仿宋_GB2312" w:hAnsi="仿宋_GB2312" w:eastAsia="仿宋_GB2312"/>
          <w:b w:val="0"/>
          <w:bCs w:val="0"/>
          <w:color w:val="auto"/>
          <w:spacing w:val="0"/>
          <w:kern w:val="0"/>
          <w:sz w:val="32"/>
          <w:szCs w:val="32"/>
          <w:highlight w:val="none"/>
          <w:lang w:val="en-US" w:eastAsia="zh-CN"/>
        </w:rPr>
        <w:t>重点领域和关键环节改革纵深推进，各类经营主体活力充分释放，要素市场化配置机制更加健全，市场化</w:t>
      </w:r>
      <w:r>
        <w:rPr>
          <w:rFonts w:hint="eastAsia"/>
          <w:b w:val="0"/>
          <w:bCs w:val="0"/>
          <w:color w:val="auto"/>
          <w:spacing w:val="0"/>
          <w:kern w:val="0"/>
          <w:sz w:val="32"/>
          <w:szCs w:val="32"/>
          <w:highlight w:val="none"/>
          <w:lang w:val="en-US" w:eastAsia="zh-CN"/>
        </w:rPr>
        <w:t>、</w:t>
      </w:r>
      <w:r>
        <w:rPr>
          <w:rFonts w:hint="eastAsia" w:ascii="仿宋_GB2312" w:hAnsi="仿宋_GB2312" w:eastAsia="仿宋_GB2312"/>
          <w:b w:val="0"/>
          <w:bCs w:val="0"/>
          <w:color w:val="auto"/>
          <w:spacing w:val="0"/>
          <w:kern w:val="0"/>
          <w:sz w:val="32"/>
          <w:szCs w:val="32"/>
          <w:highlight w:val="none"/>
          <w:lang w:val="en-US" w:eastAsia="zh-CN"/>
        </w:rPr>
        <w:t>法治化</w:t>
      </w:r>
      <w:r>
        <w:rPr>
          <w:rFonts w:hint="eastAsia"/>
          <w:b w:val="0"/>
          <w:bCs w:val="0"/>
          <w:color w:val="auto"/>
          <w:spacing w:val="0"/>
          <w:kern w:val="0"/>
          <w:sz w:val="32"/>
          <w:szCs w:val="32"/>
          <w:highlight w:val="none"/>
          <w:lang w:val="en-US" w:eastAsia="zh-CN"/>
        </w:rPr>
        <w:t>、</w:t>
      </w:r>
      <w:r>
        <w:rPr>
          <w:rFonts w:hint="eastAsia" w:ascii="仿宋_GB2312" w:hAnsi="仿宋_GB2312" w:eastAsia="仿宋_GB2312"/>
          <w:b w:val="0"/>
          <w:bCs w:val="0"/>
          <w:color w:val="auto"/>
          <w:spacing w:val="0"/>
          <w:kern w:val="0"/>
          <w:sz w:val="32"/>
          <w:szCs w:val="32"/>
          <w:highlight w:val="none"/>
          <w:lang w:val="en-US" w:eastAsia="zh-CN"/>
        </w:rPr>
        <w:t>国际化营商环境建设取得更大成效。</w:t>
      </w:r>
      <w:r>
        <w:rPr>
          <w:rFonts w:hint="eastAsia"/>
          <w:b w:val="0"/>
          <w:bCs w:val="0"/>
          <w:color w:val="auto"/>
          <w:spacing w:val="0"/>
          <w:kern w:val="0"/>
          <w:sz w:val="32"/>
          <w:szCs w:val="32"/>
          <w:highlight w:val="none"/>
          <w:lang w:val="en-US" w:eastAsia="zh-CN"/>
        </w:rPr>
        <w:t>山东</w:t>
      </w:r>
      <w:r>
        <w:rPr>
          <w:rFonts w:hint="eastAsia" w:ascii="仿宋_GB2312" w:hAnsi="仿宋_GB2312" w:eastAsia="仿宋_GB2312"/>
          <w:b w:val="0"/>
          <w:bCs w:val="0"/>
          <w:color w:val="auto"/>
          <w:spacing w:val="0"/>
          <w:kern w:val="0"/>
          <w:sz w:val="32"/>
          <w:szCs w:val="32"/>
          <w:highlight w:val="none"/>
          <w:lang w:val="en-US" w:eastAsia="zh-CN"/>
        </w:rPr>
        <w:t>济北经济开发区、海峡两岸新旧动能转换产业合作区、起步区紧密协作区进一步塑成优势，对外贸易持续扩量提质，贸易总量突破</w:t>
      </w:r>
      <w:r>
        <w:rPr>
          <w:rFonts w:hint="eastAsia"/>
          <w:b w:val="0"/>
          <w:bCs w:val="0"/>
          <w:color w:val="auto"/>
          <w:spacing w:val="0"/>
          <w:kern w:val="0"/>
          <w:sz w:val="32"/>
          <w:szCs w:val="32"/>
          <w:highlight w:val="none"/>
          <w:lang w:val="en-US" w:eastAsia="zh-CN"/>
        </w:rPr>
        <w:t>80</w:t>
      </w:r>
      <w:r>
        <w:rPr>
          <w:rFonts w:hint="eastAsia" w:ascii="仿宋_GB2312" w:hAnsi="仿宋_GB2312" w:eastAsia="仿宋_GB2312"/>
          <w:b w:val="0"/>
          <w:bCs w:val="0"/>
          <w:color w:val="auto"/>
          <w:spacing w:val="0"/>
          <w:kern w:val="0"/>
          <w:sz w:val="32"/>
          <w:szCs w:val="32"/>
          <w:highlight w:val="none"/>
          <w:lang w:val="en-US" w:eastAsia="zh-CN"/>
        </w:rPr>
        <w:t>亿元，开放型经济发展水平显著提升。</w:t>
      </w:r>
    </w:p>
    <w:p w14:paraId="56F50CFA">
      <w:pPr>
        <w:keepNext w:val="0"/>
        <w:keepLines w:val="0"/>
        <w:pageBreakBefore w:val="0"/>
        <w:widowControl w:val="0"/>
        <w:shd w:val="clear"/>
        <w:kinsoku/>
        <w:wordWrap/>
        <w:overflowPunct w:val="0"/>
        <w:topLinePunct w:val="0"/>
        <w:autoSpaceDE/>
        <w:autoSpaceDN/>
        <w:bidi w:val="0"/>
        <w:adjustRightInd w:val="0"/>
        <w:snapToGrid w:val="0"/>
        <w:spacing w:beforeLines="0" w:beforeAutospacing="0" w:afterLines="0" w:afterAutospacing="0" w:line="600" w:lineRule="exact"/>
        <w:ind w:firstLine="640" w:firstLineChars="200"/>
        <w:jc w:val="both"/>
        <w:textAlignment w:val="auto"/>
        <w:outlineLvl w:val="9"/>
        <w:rPr>
          <w:rFonts w:hint="eastAsia" w:ascii="仿宋_GB2312" w:hAnsi="仿宋_GB2312" w:eastAsia="仿宋_GB2312"/>
          <w:b w:val="0"/>
          <w:bCs w:val="0"/>
          <w:color w:val="auto"/>
          <w:spacing w:val="0"/>
          <w:kern w:val="0"/>
          <w:sz w:val="32"/>
          <w:szCs w:val="32"/>
          <w:highlight w:val="none"/>
          <w:lang w:val="en-US" w:eastAsia="zh-CN"/>
        </w:rPr>
      </w:pPr>
      <w:r>
        <w:rPr>
          <w:rFonts w:hint="eastAsia" w:ascii="楷体_GB2312" w:hAnsi="楷体_GB2312" w:eastAsia="楷体_GB2312" w:cs="楷体_GB2312"/>
          <w:b w:val="0"/>
          <w:bCs w:val="0"/>
          <w:color w:val="auto"/>
          <w:kern w:val="2"/>
          <w:sz w:val="32"/>
          <w:szCs w:val="32"/>
          <w:highlight w:val="none"/>
          <w:lang w:val="en-US" w:eastAsia="zh-CN" w:bidi="ar-SA"/>
        </w:rPr>
        <w:t>城乡发展实现新跨越</w:t>
      </w:r>
      <w:r>
        <w:rPr>
          <w:rFonts w:hint="eastAsia" w:ascii="楷体_GB2312" w:hAnsi="楷体_GB2312" w:eastAsia="楷体_GB2312" w:cs="楷体_GB2312"/>
          <w:b w:val="0"/>
          <w:bCs w:val="0"/>
          <w:color w:val="auto"/>
          <w:spacing w:val="0"/>
          <w:kern w:val="0"/>
          <w:sz w:val="32"/>
          <w:szCs w:val="32"/>
          <w:highlight w:val="none"/>
          <w:lang w:val="en-US" w:eastAsia="zh-CN"/>
        </w:rPr>
        <w:t>。</w:t>
      </w:r>
      <w:r>
        <w:rPr>
          <w:rFonts w:hint="eastAsia" w:ascii="仿宋_GB2312" w:hAnsi="仿宋_GB2312" w:eastAsia="仿宋_GB2312"/>
          <w:b w:val="0"/>
          <w:bCs w:val="0"/>
          <w:color w:val="auto"/>
          <w:spacing w:val="0"/>
          <w:kern w:val="0"/>
          <w:sz w:val="32"/>
          <w:szCs w:val="32"/>
          <w:highlight w:val="none"/>
          <w:lang w:val="en-US" w:eastAsia="zh-CN"/>
        </w:rPr>
        <w:t>区域协调发展互促共进，落实黄河流域生态保护和高质量发展战略取得明显成效，济南都市圈对接融合全面提速、融入新旧动能转换起步区步伐不断加快，</w:t>
      </w:r>
      <w:r>
        <w:rPr>
          <w:rFonts w:hint="eastAsia"/>
          <w:b w:val="0"/>
          <w:bCs w:val="0"/>
          <w:color w:val="auto"/>
          <w:spacing w:val="0"/>
          <w:kern w:val="0"/>
          <w:sz w:val="32"/>
          <w:szCs w:val="32"/>
          <w:highlight w:val="none"/>
          <w:lang w:val="en-US" w:eastAsia="zh-CN"/>
        </w:rPr>
        <w:t>中心城区功能品质大幅提高</w:t>
      </w:r>
      <w:r>
        <w:rPr>
          <w:rFonts w:hint="eastAsia" w:ascii="仿宋_GB2312" w:hAnsi="仿宋_GB2312" w:eastAsia="仿宋_GB2312"/>
          <w:b w:val="0"/>
          <w:bCs w:val="0"/>
          <w:color w:val="auto"/>
          <w:spacing w:val="0"/>
          <w:kern w:val="0"/>
          <w:sz w:val="32"/>
          <w:szCs w:val="32"/>
          <w:highlight w:val="none"/>
          <w:lang w:val="en-US" w:eastAsia="zh-CN"/>
        </w:rPr>
        <w:t>，</w:t>
      </w:r>
      <w:r>
        <w:rPr>
          <w:rFonts w:hint="eastAsia" w:ascii="仿宋_GB2312" w:hAnsi="仿宋_GB2312" w:eastAsia="仿宋_GB2312"/>
          <w:b w:val="0"/>
          <w:bCs w:val="0"/>
          <w:color w:val="auto"/>
          <w:spacing w:val="0"/>
          <w:kern w:val="0"/>
          <w:sz w:val="32"/>
          <w:szCs w:val="32"/>
          <w:highlight w:val="none"/>
          <w:shd w:val="clear"/>
          <w:lang w:val="en-US" w:eastAsia="zh-CN"/>
        </w:rPr>
        <w:t>常住人口城镇化率</w:t>
      </w:r>
      <w:r>
        <w:rPr>
          <w:rFonts w:hint="eastAsia"/>
          <w:b w:val="0"/>
          <w:bCs w:val="0"/>
          <w:color w:val="auto"/>
          <w:spacing w:val="0"/>
          <w:kern w:val="0"/>
          <w:sz w:val="32"/>
          <w:szCs w:val="32"/>
          <w:highlight w:val="none"/>
          <w:shd w:val="clear"/>
          <w:lang w:val="en-US" w:eastAsia="zh-CN"/>
        </w:rPr>
        <w:t>达到53.5</w:t>
      </w:r>
      <w:r>
        <w:rPr>
          <w:rFonts w:hint="eastAsia" w:ascii="仿宋_GB2312" w:hAnsi="仿宋_GB2312" w:eastAsia="仿宋_GB2312"/>
          <w:b w:val="0"/>
          <w:bCs w:val="0"/>
          <w:color w:val="auto"/>
          <w:spacing w:val="0"/>
          <w:kern w:val="0"/>
          <w:sz w:val="32"/>
          <w:szCs w:val="32"/>
          <w:highlight w:val="none"/>
          <w:shd w:val="clear"/>
          <w:lang w:val="en-US" w:eastAsia="zh-CN"/>
        </w:rPr>
        <w:t>%</w:t>
      </w:r>
      <w:r>
        <w:rPr>
          <w:rFonts w:hint="eastAsia"/>
          <w:b w:val="0"/>
          <w:bCs w:val="0"/>
          <w:color w:val="auto"/>
          <w:spacing w:val="0"/>
          <w:kern w:val="0"/>
          <w:sz w:val="32"/>
          <w:szCs w:val="32"/>
          <w:highlight w:val="none"/>
          <w:shd w:val="clear"/>
          <w:lang w:val="en-US" w:eastAsia="zh-CN"/>
        </w:rPr>
        <w:t>以上</w:t>
      </w:r>
      <w:r>
        <w:rPr>
          <w:rFonts w:hint="eastAsia" w:ascii="仿宋_GB2312" w:hAnsi="仿宋_GB2312" w:eastAsia="仿宋_GB2312"/>
          <w:b w:val="0"/>
          <w:bCs w:val="0"/>
          <w:color w:val="auto"/>
          <w:spacing w:val="0"/>
          <w:kern w:val="0"/>
          <w:sz w:val="32"/>
          <w:szCs w:val="32"/>
          <w:highlight w:val="none"/>
          <w:shd w:val="clear"/>
          <w:lang w:val="en-US" w:eastAsia="zh-CN"/>
        </w:rPr>
        <w:t>，</w:t>
      </w:r>
      <w:r>
        <w:rPr>
          <w:rFonts w:hint="eastAsia"/>
          <w:b w:val="0"/>
          <w:bCs w:val="0"/>
          <w:color w:val="auto"/>
          <w:spacing w:val="0"/>
          <w:kern w:val="0"/>
          <w:sz w:val="32"/>
          <w:szCs w:val="32"/>
          <w:highlight w:val="none"/>
          <w:lang w:val="en-US" w:eastAsia="zh-CN"/>
        </w:rPr>
        <w:t>核心</w:t>
      </w:r>
      <w:r>
        <w:rPr>
          <w:rFonts w:hint="eastAsia" w:ascii="仿宋_GB2312" w:hAnsi="仿宋_GB2312" w:eastAsia="仿宋_GB2312"/>
          <w:b w:val="0"/>
          <w:bCs w:val="0"/>
          <w:color w:val="auto"/>
          <w:spacing w:val="0"/>
          <w:kern w:val="0"/>
          <w:sz w:val="32"/>
          <w:szCs w:val="32"/>
          <w:highlight w:val="none"/>
          <w:lang w:val="en-US" w:eastAsia="zh-CN"/>
        </w:rPr>
        <w:t>竞争力</w:t>
      </w:r>
      <w:r>
        <w:rPr>
          <w:rFonts w:hint="eastAsia"/>
          <w:b w:val="0"/>
          <w:bCs w:val="0"/>
          <w:color w:val="auto"/>
          <w:spacing w:val="0"/>
          <w:kern w:val="0"/>
          <w:sz w:val="32"/>
          <w:szCs w:val="32"/>
          <w:highlight w:val="none"/>
          <w:lang w:val="en-US" w:eastAsia="zh-CN"/>
        </w:rPr>
        <w:t>、</w:t>
      </w:r>
      <w:r>
        <w:rPr>
          <w:rFonts w:hint="eastAsia" w:ascii="仿宋_GB2312" w:hAnsi="仿宋_GB2312" w:eastAsia="仿宋_GB2312"/>
          <w:b w:val="0"/>
          <w:bCs w:val="0"/>
          <w:color w:val="auto"/>
          <w:spacing w:val="0"/>
          <w:kern w:val="0"/>
          <w:sz w:val="32"/>
          <w:szCs w:val="32"/>
          <w:highlight w:val="none"/>
          <w:lang w:val="en-US" w:eastAsia="zh-CN"/>
        </w:rPr>
        <w:t>发展带动力和</w:t>
      </w:r>
      <w:r>
        <w:rPr>
          <w:rFonts w:hint="eastAsia"/>
          <w:b w:val="0"/>
          <w:bCs w:val="0"/>
          <w:color w:val="auto"/>
          <w:spacing w:val="0"/>
          <w:kern w:val="0"/>
          <w:sz w:val="32"/>
          <w:szCs w:val="32"/>
          <w:highlight w:val="none"/>
          <w:lang w:val="en-US" w:eastAsia="zh-CN"/>
        </w:rPr>
        <w:t>区域</w:t>
      </w:r>
      <w:r>
        <w:rPr>
          <w:rFonts w:hint="eastAsia" w:ascii="仿宋_GB2312" w:hAnsi="仿宋_GB2312" w:eastAsia="仿宋_GB2312"/>
          <w:b w:val="0"/>
          <w:bCs w:val="0"/>
          <w:color w:val="auto"/>
          <w:spacing w:val="0"/>
          <w:kern w:val="0"/>
          <w:sz w:val="32"/>
          <w:szCs w:val="32"/>
          <w:highlight w:val="none"/>
          <w:lang w:val="en-US" w:eastAsia="zh-CN"/>
        </w:rPr>
        <w:t>影响力显著增强。新型城镇化建设加快，现代高效农业提质增效，和美乡村建设取得突破，城乡融合发展能级全面跃升。</w:t>
      </w:r>
    </w:p>
    <w:p w14:paraId="3A908F53">
      <w:pPr>
        <w:keepNext w:val="0"/>
        <w:keepLines w:val="0"/>
        <w:pageBreakBefore w:val="0"/>
        <w:widowControl w:val="0"/>
        <w:shd w:val="clear"/>
        <w:kinsoku/>
        <w:wordWrap/>
        <w:overflowPunct w:val="0"/>
        <w:topLinePunct w:val="0"/>
        <w:autoSpaceDE/>
        <w:autoSpaceDN/>
        <w:bidi w:val="0"/>
        <w:adjustRightInd w:val="0"/>
        <w:snapToGrid w:val="0"/>
        <w:spacing w:beforeLines="0" w:beforeAutospacing="0" w:afterLines="0" w:afterAutospacing="0" w:line="600" w:lineRule="exact"/>
        <w:ind w:firstLine="640" w:firstLineChars="200"/>
        <w:jc w:val="both"/>
        <w:textAlignment w:val="auto"/>
        <w:outlineLvl w:val="9"/>
        <w:rPr>
          <w:rFonts w:hint="eastAsia" w:ascii="仿宋_GB2312" w:hAnsi="仿宋_GB2312" w:eastAsia="仿宋_GB2312"/>
          <w:b w:val="0"/>
          <w:bCs w:val="0"/>
          <w:color w:val="auto"/>
          <w:spacing w:val="0"/>
          <w:kern w:val="0"/>
          <w:sz w:val="32"/>
          <w:szCs w:val="32"/>
          <w:highlight w:val="none"/>
          <w:lang w:val="en-US" w:eastAsia="zh-CN"/>
        </w:rPr>
      </w:pPr>
      <w:r>
        <w:rPr>
          <w:rFonts w:hint="eastAsia" w:ascii="楷体_GB2312" w:hAnsi="楷体_GB2312" w:eastAsia="楷体_GB2312" w:cs="楷体_GB2312"/>
          <w:b w:val="0"/>
          <w:bCs w:val="0"/>
          <w:color w:val="auto"/>
          <w:spacing w:val="0"/>
          <w:kern w:val="0"/>
          <w:sz w:val="32"/>
          <w:szCs w:val="32"/>
          <w:highlight w:val="none"/>
          <w:lang w:val="en-US" w:eastAsia="zh-CN"/>
        </w:rPr>
        <w:t>社会文明绽放新光彩。</w:t>
      </w:r>
      <w:r>
        <w:rPr>
          <w:rFonts w:hint="eastAsia" w:ascii="仿宋_GB2312" w:hAnsi="仿宋_GB2312" w:eastAsia="仿宋_GB2312"/>
          <w:b w:val="0"/>
          <w:bCs w:val="0"/>
          <w:color w:val="auto"/>
          <w:spacing w:val="0"/>
          <w:kern w:val="0"/>
          <w:sz w:val="32"/>
          <w:szCs w:val="32"/>
          <w:highlight w:val="none"/>
          <w:lang w:val="en-US" w:eastAsia="zh-CN"/>
        </w:rPr>
        <w:t>社会主义核心价值观更加深入人心，</w:t>
      </w:r>
      <w:r>
        <w:rPr>
          <w:rFonts w:hint="eastAsia"/>
          <w:b w:val="0"/>
          <w:bCs w:val="0"/>
          <w:color w:val="auto"/>
          <w:spacing w:val="0"/>
          <w:kern w:val="0"/>
          <w:sz w:val="32"/>
          <w:szCs w:val="32"/>
          <w:highlight w:val="none"/>
          <w:lang w:val="en-US" w:eastAsia="zh-CN"/>
        </w:rPr>
        <w:t>精神</w:t>
      </w:r>
      <w:r>
        <w:rPr>
          <w:rFonts w:hint="eastAsia" w:ascii="仿宋_GB2312" w:hAnsi="仿宋_GB2312" w:eastAsia="仿宋_GB2312"/>
          <w:b w:val="0"/>
          <w:bCs w:val="0"/>
          <w:color w:val="auto"/>
          <w:spacing w:val="0"/>
          <w:kern w:val="0"/>
          <w:sz w:val="32"/>
          <w:szCs w:val="32"/>
          <w:highlight w:val="none"/>
          <w:lang w:val="en-US" w:eastAsia="zh-CN"/>
        </w:rPr>
        <w:t>文明程度持续提升，公共文化服务体系和服务设施更加完善，文化产业创新创造活力充分激发，文化软实力更加彰显。黄河文化、闻韶文化影响力持续扩大，全域旅游发展格局基本形成，一批重点文旅产业集群、优质旅游景区</w:t>
      </w:r>
      <w:r>
        <w:rPr>
          <w:rFonts w:hint="eastAsia"/>
          <w:b w:val="0"/>
          <w:bCs w:val="0"/>
          <w:color w:val="auto"/>
          <w:spacing w:val="0"/>
          <w:kern w:val="0"/>
          <w:sz w:val="32"/>
          <w:szCs w:val="32"/>
          <w:highlight w:val="none"/>
          <w:lang w:val="en-US" w:eastAsia="zh-CN"/>
        </w:rPr>
        <w:t>落地生根</w:t>
      </w:r>
      <w:r>
        <w:rPr>
          <w:rFonts w:hint="eastAsia" w:ascii="仿宋_GB2312" w:hAnsi="仿宋_GB2312" w:eastAsia="仿宋_GB2312"/>
          <w:b w:val="0"/>
          <w:bCs w:val="0"/>
          <w:color w:val="auto"/>
          <w:spacing w:val="0"/>
          <w:kern w:val="0"/>
          <w:sz w:val="32"/>
          <w:szCs w:val="32"/>
          <w:highlight w:val="none"/>
          <w:lang w:val="en-US" w:eastAsia="zh-CN"/>
        </w:rPr>
        <w:t>，文化强区建设迈出更加坚实步伐</w:t>
      </w:r>
      <w:r>
        <w:rPr>
          <w:rFonts w:hint="eastAsia"/>
          <w:b w:val="0"/>
          <w:bCs w:val="0"/>
          <w:color w:val="auto"/>
          <w:spacing w:val="0"/>
          <w:kern w:val="0"/>
          <w:sz w:val="32"/>
          <w:szCs w:val="32"/>
          <w:highlight w:val="none"/>
          <w:lang w:val="en-US" w:eastAsia="zh-CN"/>
        </w:rPr>
        <w:t>，</w:t>
      </w:r>
      <w:r>
        <w:rPr>
          <w:rFonts w:hint="eastAsia" w:ascii="仿宋_GB2312" w:hAnsi="仿宋_GB2312" w:eastAsia="仿宋_GB2312" w:cs="仿宋_GB2312"/>
          <w:b w:val="0"/>
          <w:bCs w:val="0"/>
          <w:color w:val="auto"/>
          <w:spacing w:val="0"/>
          <w:kern w:val="0"/>
          <w:sz w:val="32"/>
          <w:szCs w:val="32"/>
          <w:highlight w:val="none"/>
          <w:lang w:val="en-US" w:eastAsia="zh-CN"/>
        </w:rPr>
        <w:t>“一河一线一新区”城市IP更加深入人心</w:t>
      </w:r>
      <w:r>
        <w:rPr>
          <w:rFonts w:hint="eastAsia" w:ascii="仿宋_GB2312" w:hAnsi="仿宋_GB2312" w:eastAsia="仿宋_GB2312"/>
          <w:b w:val="0"/>
          <w:bCs w:val="0"/>
          <w:color w:val="auto"/>
          <w:spacing w:val="0"/>
          <w:kern w:val="0"/>
          <w:sz w:val="32"/>
          <w:szCs w:val="32"/>
          <w:highlight w:val="none"/>
          <w:lang w:val="en-US" w:eastAsia="zh-CN"/>
        </w:rPr>
        <w:t>。</w:t>
      </w:r>
    </w:p>
    <w:p w14:paraId="00FBBB3F">
      <w:pPr>
        <w:keepNext w:val="0"/>
        <w:keepLines w:val="0"/>
        <w:pageBreakBefore w:val="0"/>
        <w:widowControl w:val="0"/>
        <w:shd w:val="clear"/>
        <w:kinsoku/>
        <w:wordWrap/>
        <w:overflowPunct w:val="0"/>
        <w:topLinePunct w:val="0"/>
        <w:autoSpaceDE/>
        <w:autoSpaceDN/>
        <w:bidi w:val="0"/>
        <w:adjustRightInd w:val="0"/>
        <w:snapToGrid w:val="0"/>
        <w:spacing w:beforeLines="0" w:beforeAutospacing="0" w:afterLines="0" w:afterAutospacing="0" w:line="600" w:lineRule="exact"/>
        <w:ind w:firstLine="640" w:firstLineChars="200"/>
        <w:jc w:val="both"/>
        <w:textAlignment w:val="auto"/>
        <w:outlineLvl w:val="9"/>
        <w:rPr>
          <w:rFonts w:hint="eastAsia" w:ascii="仿宋_GB2312" w:hAnsi="仿宋_GB2312" w:eastAsia="仿宋_GB2312"/>
          <w:b w:val="0"/>
          <w:bCs w:val="0"/>
          <w:color w:val="auto"/>
          <w:spacing w:val="0"/>
          <w:kern w:val="0"/>
          <w:sz w:val="32"/>
          <w:szCs w:val="32"/>
          <w:highlight w:val="none"/>
          <w:lang w:val="en-US" w:eastAsia="zh-CN"/>
        </w:rPr>
      </w:pPr>
      <w:r>
        <w:rPr>
          <w:rFonts w:hint="eastAsia" w:ascii="楷体_GB2312" w:hAnsi="楷体_GB2312" w:eastAsia="楷体_GB2312" w:cs="楷体_GB2312"/>
          <w:b w:val="0"/>
          <w:bCs w:val="0"/>
          <w:color w:val="auto"/>
          <w:spacing w:val="0"/>
          <w:kern w:val="0"/>
          <w:sz w:val="32"/>
          <w:szCs w:val="32"/>
          <w:highlight w:val="none"/>
          <w:lang w:val="en-US" w:eastAsia="zh-CN"/>
        </w:rPr>
        <w:t>绿色发展实现新突破。</w:t>
      </w:r>
      <w:r>
        <w:rPr>
          <w:rFonts w:hint="eastAsia" w:ascii="仿宋_GB2312" w:hAnsi="仿宋_GB2312" w:eastAsia="仿宋_GB2312"/>
          <w:b w:val="0"/>
          <w:bCs w:val="0"/>
          <w:color w:val="auto"/>
          <w:spacing w:val="0"/>
          <w:kern w:val="0"/>
          <w:sz w:val="32"/>
          <w:szCs w:val="32"/>
          <w:highlight w:val="none"/>
          <w:lang w:val="en-US" w:eastAsia="zh-CN"/>
        </w:rPr>
        <w:t>积极稳妥推进碳达峰，新型能源体系初步建成，主要污染物排放总量持续削减，经济社会绿色转型成效显著，生态环境质量稳步改善，空气质量优良天数占比</w:t>
      </w:r>
      <w:r>
        <w:rPr>
          <w:rFonts w:hint="eastAsia"/>
          <w:b w:val="0"/>
          <w:bCs w:val="0"/>
          <w:color w:val="auto"/>
          <w:spacing w:val="0"/>
          <w:kern w:val="0"/>
          <w:sz w:val="32"/>
          <w:szCs w:val="32"/>
          <w:highlight w:val="none"/>
          <w:lang w:val="en-US" w:eastAsia="zh-CN"/>
        </w:rPr>
        <w:t>、</w:t>
      </w:r>
      <w:r>
        <w:rPr>
          <w:rFonts w:hint="eastAsia" w:ascii="仿宋_GB2312" w:hAnsi="仿宋_GB2312" w:eastAsia="仿宋_GB2312"/>
          <w:b w:val="0"/>
          <w:bCs w:val="0"/>
          <w:color w:val="auto"/>
          <w:spacing w:val="0"/>
          <w:kern w:val="0"/>
          <w:sz w:val="32"/>
          <w:szCs w:val="32"/>
          <w:highlight w:val="none"/>
          <w:lang w:val="en-US" w:eastAsia="zh-CN"/>
        </w:rPr>
        <w:t>森林覆盖率</w:t>
      </w:r>
      <w:r>
        <w:rPr>
          <w:rFonts w:hint="eastAsia"/>
          <w:b w:val="0"/>
          <w:bCs w:val="0"/>
          <w:color w:val="auto"/>
          <w:spacing w:val="0"/>
          <w:kern w:val="0"/>
          <w:sz w:val="32"/>
          <w:szCs w:val="32"/>
          <w:highlight w:val="none"/>
          <w:lang w:val="en-US" w:eastAsia="zh-CN"/>
        </w:rPr>
        <w:t>等优化稳定</w:t>
      </w:r>
      <w:r>
        <w:rPr>
          <w:rFonts w:hint="eastAsia" w:ascii="仿宋_GB2312" w:hAnsi="仿宋_GB2312" w:eastAsia="仿宋_GB2312"/>
          <w:b w:val="0"/>
          <w:bCs w:val="0"/>
          <w:color w:val="auto"/>
          <w:spacing w:val="0"/>
          <w:kern w:val="0"/>
          <w:sz w:val="32"/>
          <w:szCs w:val="32"/>
          <w:highlight w:val="none"/>
          <w:lang w:val="en-US" w:eastAsia="zh-CN"/>
        </w:rPr>
        <w:t>，全面开启天蓝地绿水清“美丽济阳”建设新篇章。</w:t>
      </w:r>
    </w:p>
    <w:p w14:paraId="55603557">
      <w:pPr>
        <w:keepNext w:val="0"/>
        <w:keepLines w:val="0"/>
        <w:pageBreakBefore w:val="0"/>
        <w:widowControl w:val="0"/>
        <w:shd w:val="clear"/>
        <w:kinsoku/>
        <w:wordWrap/>
        <w:overflowPunct w:val="0"/>
        <w:topLinePunct w:val="0"/>
        <w:autoSpaceDE/>
        <w:autoSpaceDN/>
        <w:bidi w:val="0"/>
        <w:adjustRightInd w:val="0"/>
        <w:snapToGrid w:val="0"/>
        <w:spacing w:beforeLines="0" w:beforeAutospacing="0" w:afterLines="0" w:afterAutospacing="0" w:line="600" w:lineRule="exact"/>
        <w:ind w:firstLine="640" w:firstLineChars="200"/>
        <w:jc w:val="both"/>
        <w:textAlignment w:val="auto"/>
        <w:outlineLvl w:val="9"/>
        <w:rPr>
          <w:rFonts w:hint="eastAsia" w:ascii="仿宋_GB2312" w:hAnsi="仿宋_GB2312" w:eastAsia="仿宋_GB2312"/>
          <w:b w:val="0"/>
          <w:bCs w:val="0"/>
          <w:color w:val="auto"/>
          <w:spacing w:val="0"/>
          <w:kern w:val="0"/>
          <w:sz w:val="32"/>
          <w:szCs w:val="32"/>
          <w:highlight w:val="none"/>
          <w:lang w:val="en-US" w:eastAsia="zh-CN"/>
        </w:rPr>
      </w:pPr>
      <w:r>
        <w:rPr>
          <w:rFonts w:hint="eastAsia" w:ascii="楷体_GB2312" w:hAnsi="楷体_GB2312" w:eastAsia="楷体_GB2312" w:cs="楷体_GB2312"/>
          <w:b w:val="0"/>
          <w:bCs w:val="0"/>
          <w:color w:val="auto"/>
          <w:spacing w:val="0"/>
          <w:kern w:val="0"/>
          <w:sz w:val="32"/>
          <w:szCs w:val="32"/>
          <w:highlight w:val="none"/>
          <w:lang w:val="en-US" w:eastAsia="zh-CN"/>
        </w:rPr>
        <w:t>人民福祉迈向新高度。</w:t>
      </w:r>
      <w:r>
        <w:rPr>
          <w:rFonts w:hint="eastAsia" w:ascii="仿宋_GB2312" w:hAnsi="仿宋_GB2312" w:eastAsia="仿宋_GB2312"/>
          <w:b w:val="0"/>
          <w:bCs w:val="0"/>
          <w:color w:val="auto"/>
          <w:spacing w:val="0"/>
          <w:kern w:val="0"/>
          <w:sz w:val="32"/>
          <w:szCs w:val="32"/>
          <w:highlight w:val="none"/>
          <w:lang w:val="en-US" w:eastAsia="zh-CN"/>
        </w:rPr>
        <w:t>居民收入增长和经济增长</w:t>
      </w:r>
      <w:r>
        <w:rPr>
          <w:rFonts w:hint="eastAsia"/>
          <w:b w:val="0"/>
          <w:bCs w:val="0"/>
          <w:color w:val="auto"/>
          <w:spacing w:val="0"/>
          <w:kern w:val="0"/>
          <w:sz w:val="32"/>
          <w:szCs w:val="32"/>
          <w:highlight w:val="none"/>
          <w:lang w:val="en-US" w:eastAsia="zh-CN"/>
        </w:rPr>
        <w:t>基本</w:t>
      </w:r>
      <w:r>
        <w:rPr>
          <w:rFonts w:hint="eastAsia" w:ascii="仿宋_GB2312" w:hAnsi="仿宋_GB2312" w:eastAsia="仿宋_GB2312"/>
          <w:b w:val="0"/>
          <w:bCs w:val="0"/>
          <w:color w:val="auto"/>
          <w:spacing w:val="0"/>
          <w:kern w:val="0"/>
          <w:sz w:val="32"/>
          <w:szCs w:val="32"/>
          <w:highlight w:val="none"/>
          <w:lang w:val="en-US" w:eastAsia="zh-CN"/>
        </w:rPr>
        <w:t>同步，城乡居民收入差距持续缩小，人民共同富裕取得更为明显的实质性进展。高质量充分就业取得新进展，幼有优育、学有优教的高质量教育体系加快塑成，</w:t>
      </w:r>
      <w:r>
        <w:rPr>
          <w:rFonts w:hint="eastAsia" w:ascii="仿宋_GB2312" w:hAnsi="仿宋_GB2312" w:eastAsia="仿宋_GB2312" w:cs="仿宋_GB2312"/>
          <w:b w:val="0"/>
          <w:bCs w:val="0"/>
          <w:color w:val="auto"/>
          <w:spacing w:val="0"/>
          <w:kern w:val="0"/>
          <w:sz w:val="32"/>
          <w:szCs w:val="32"/>
          <w:highlight w:val="none"/>
          <w:lang w:val="en-US" w:eastAsia="zh-CN"/>
        </w:rPr>
        <w:t>医疗卫生服务能力持续增强，社会保险覆盖面不断扩大，住房保障水平显著提升，</w:t>
      </w:r>
      <w:r>
        <w:rPr>
          <w:rFonts w:hint="eastAsia" w:ascii="仿宋_GB2312" w:hAnsi="仿宋_GB2312" w:eastAsia="仿宋_GB2312"/>
          <w:b w:val="0"/>
          <w:bCs w:val="0"/>
          <w:color w:val="auto"/>
          <w:spacing w:val="0"/>
          <w:kern w:val="0"/>
          <w:sz w:val="32"/>
          <w:szCs w:val="32"/>
          <w:highlight w:val="none"/>
          <w:lang w:val="en-US" w:eastAsia="zh-CN"/>
        </w:rPr>
        <w:t>覆盖全生命周期的人口服务体系更加完善。</w:t>
      </w:r>
    </w:p>
    <w:p w14:paraId="4FAEF884">
      <w:pPr>
        <w:keepNext w:val="0"/>
        <w:keepLines w:val="0"/>
        <w:pageBreakBefore w:val="0"/>
        <w:widowControl w:val="0"/>
        <w:shd w:val="clear"/>
        <w:kinsoku/>
        <w:wordWrap/>
        <w:overflowPunct w:val="0"/>
        <w:topLinePunct w:val="0"/>
        <w:autoSpaceDE/>
        <w:autoSpaceDN/>
        <w:bidi w:val="0"/>
        <w:adjustRightInd w:val="0"/>
        <w:snapToGrid w:val="0"/>
        <w:spacing w:beforeLines="0" w:beforeAutospacing="0" w:afterLines="0" w:afterAutospacing="0" w:line="600" w:lineRule="exact"/>
        <w:ind w:firstLine="640" w:firstLineChars="200"/>
        <w:jc w:val="both"/>
        <w:textAlignment w:val="auto"/>
        <w:outlineLvl w:val="9"/>
        <w:rPr>
          <w:rFonts w:hint="eastAsia" w:ascii="仿宋_GB2312" w:hAnsi="仿宋_GB2312" w:eastAsia="仿宋_GB2312"/>
          <w:b w:val="0"/>
          <w:bCs w:val="0"/>
          <w:color w:val="auto"/>
          <w:spacing w:val="0"/>
          <w:kern w:val="0"/>
          <w:sz w:val="32"/>
          <w:szCs w:val="32"/>
          <w:highlight w:val="none"/>
          <w:lang w:val="en-US" w:eastAsia="zh-CN"/>
        </w:rPr>
      </w:pPr>
      <w:r>
        <w:rPr>
          <w:rFonts w:hint="eastAsia" w:ascii="楷体_GB2312" w:hAnsi="楷体_GB2312" w:eastAsia="楷体_GB2312" w:cs="楷体_GB2312"/>
          <w:b w:val="0"/>
          <w:bCs w:val="0"/>
          <w:color w:val="auto"/>
          <w:spacing w:val="0"/>
          <w:kern w:val="0"/>
          <w:sz w:val="32"/>
          <w:szCs w:val="32"/>
          <w:highlight w:val="none"/>
          <w:lang w:val="en-US" w:eastAsia="zh-CN"/>
        </w:rPr>
        <w:t>治理水平实现新提高。</w:t>
      </w:r>
      <w:r>
        <w:rPr>
          <w:rFonts w:hint="eastAsia" w:ascii="仿宋_GB2312" w:hAnsi="仿宋_GB2312" w:eastAsia="仿宋_GB2312"/>
          <w:b w:val="0"/>
          <w:bCs w:val="0"/>
          <w:color w:val="auto"/>
          <w:spacing w:val="0"/>
          <w:kern w:val="0"/>
          <w:sz w:val="32"/>
          <w:szCs w:val="32"/>
          <w:highlight w:val="none"/>
          <w:lang w:val="en-US" w:eastAsia="zh-CN"/>
        </w:rPr>
        <w:t>民主法治建设扎实推进，党建引领基层治理效能持续提升，重大突发公共事件应急能力和防灾减灾抗灾救灾能力明显提高，防范化解风险能力持续增强，社会治理能力现代化水平</w:t>
      </w:r>
      <w:r>
        <w:rPr>
          <w:rFonts w:hint="eastAsia"/>
          <w:b w:val="0"/>
          <w:bCs w:val="0"/>
          <w:color w:val="auto"/>
          <w:spacing w:val="0"/>
          <w:kern w:val="0"/>
          <w:sz w:val="32"/>
          <w:szCs w:val="32"/>
          <w:highlight w:val="none"/>
          <w:lang w:val="en-US" w:eastAsia="zh-CN"/>
        </w:rPr>
        <w:t>不断</w:t>
      </w:r>
      <w:r>
        <w:rPr>
          <w:rFonts w:hint="eastAsia" w:ascii="仿宋_GB2312" w:hAnsi="仿宋_GB2312" w:eastAsia="仿宋_GB2312"/>
          <w:b w:val="0"/>
          <w:bCs w:val="0"/>
          <w:color w:val="auto"/>
          <w:spacing w:val="0"/>
          <w:kern w:val="0"/>
          <w:sz w:val="32"/>
          <w:szCs w:val="32"/>
          <w:highlight w:val="none"/>
          <w:lang w:val="en-US" w:eastAsia="zh-CN"/>
        </w:rPr>
        <w:t>提升，城区运行更安全、更有序、更智慧、更高效，建成更高水平平安济阳、法治济阳</w:t>
      </w:r>
      <w:r>
        <w:rPr>
          <w:rFonts w:hint="eastAsia"/>
          <w:b w:val="0"/>
          <w:bCs w:val="0"/>
          <w:color w:val="auto"/>
          <w:spacing w:val="0"/>
          <w:kern w:val="0"/>
          <w:sz w:val="32"/>
          <w:szCs w:val="32"/>
          <w:highlight w:val="none"/>
          <w:lang w:val="en-US" w:eastAsia="zh-CN"/>
        </w:rPr>
        <w:t>、诚信济阳</w:t>
      </w:r>
      <w:r>
        <w:rPr>
          <w:rFonts w:hint="eastAsia" w:ascii="仿宋_GB2312" w:hAnsi="仿宋_GB2312" w:eastAsia="仿宋_GB2312"/>
          <w:b w:val="0"/>
          <w:bCs w:val="0"/>
          <w:color w:val="auto"/>
          <w:spacing w:val="0"/>
          <w:kern w:val="0"/>
          <w:sz w:val="32"/>
          <w:szCs w:val="32"/>
          <w:highlight w:val="none"/>
          <w:lang w:val="en-US" w:eastAsia="zh-CN"/>
        </w:rPr>
        <w:t>。</w:t>
      </w:r>
    </w:p>
    <w:p w14:paraId="452D7A26">
      <w:pPr>
        <w:keepNext w:val="0"/>
        <w:keepLines w:val="0"/>
        <w:pageBreakBefore w:val="0"/>
        <w:widowControl w:val="0"/>
        <w:shd w:val="clear"/>
        <w:kinsoku/>
        <w:wordWrap/>
        <w:overflowPunct w:val="0"/>
        <w:topLinePunct w:val="0"/>
        <w:autoSpaceDE/>
        <w:autoSpaceDN/>
        <w:bidi w:val="0"/>
        <w:adjustRightInd w:val="0"/>
        <w:snapToGrid w:val="0"/>
        <w:spacing w:beforeAutospacing="0" w:afterAutospacing="0" w:line="600" w:lineRule="exact"/>
        <w:ind w:firstLine="640" w:firstLineChars="200"/>
        <w:jc w:val="both"/>
        <w:textAlignment w:val="auto"/>
        <w:outlineLvl w:val="9"/>
        <w:rPr>
          <w:rFonts w:hint="eastAsia" w:ascii="Arial" w:hAnsi="Arial" w:eastAsia="楷体_GB2312" w:cstheme="minorBidi"/>
          <w:color w:val="auto"/>
          <w:spacing w:val="0"/>
          <w:kern w:val="0"/>
          <w:sz w:val="32"/>
          <w:szCs w:val="32"/>
          <w:highlight w:val="none"/>
          <w:lang w:val="en-US" w:eastAsia="zh-CN" w:bidi="ar-SA"/>
        </w:rPr>
      </w:pPr>
      <w:r>
        <w:rPr>
          <w:rFonts w:hint="eastAsia" w:ascii="仿宋_GB2312" w:hAnsi="仿宋_GB2312" w:eastAsia="仿宋_GB2312"/>
          <w:b w:val="0"/>
          <w:bCs w:val="0"/>
          <w:color w:val="auto"/>
          <w:spacing w:val="0"/>
          <w:kern w:val="0"/>
          <w:sz w:val="32"/>
          <w:szCs w:val="32"/>
          <w:highlight w:val="none"/>
          <w:lang w:val="en-US" w:eastAsia="zh-CN"/>
        </w:rPr>
        <w:t>在此基础上再奋斗五年，到二〇三五年经济实力、科技实力、综合竞争力和区域影响力实现大幅跃升，人均</w:t>
      </w:r>
      <w:r>
        <w:rPr>
          <w:rFonts w:hint="eastAsia"/>
          <w:b w:val="0"/>
          <w:bCs w:val="0"/>
          <w:color w:val="auto"/>
          <w:spacing w:val="0"/>
          <w:kern w:val="0"/>
          <w:sz w:val="32"/>
          <w:szCs w:val="32"/>
          <w:highlight w:val="none"/>
          <w:lang w:val="en-US" w:eastAsia="zh-CN"/>
        </w:rPr>
        <w:t>地区</w:t>
      </w:r>
      <w:r>
        <w:rPr>
          <w:rFonts w:hint="eastAsia" w:ascii="仿宋_GB2312" w:hAnsi="仿宋_GB2312" w:eastAsia="仿宋_GB2312"/>
          <w:b w:val="0"/>
          <w:bCs w:val="0"/>
          <w:color w:val="auto"/>
          <w:spacing w:val="0"/>
          <w:kern w:val="0"/>
          <w:sz w:val="32"/>
          <w:szCs w:val="32"/>
          <w:highlight w:val="none"/>
          <w:lang w:val="en-US" w:eastAsia="zh-CN"/>
        </w:rPr>
        <w:t>生产总值达到中等发达国家水平，主要经济指标增速保持</w:t>
      </w:r>
      <w:r>
        <w:rPr>
          <w:rFonts w:hint="eastAsia"/>
          <w:b w:val="0"/>
          <w:bCs w:val="0"/>
          <w:color w:val="auto"/>
          <w:spacing w:val="0"/>
          <w:kern w:val="0"/>
          <w:sz w:val="32"/>
          <w:szCs w:val="32"/>
          <w:highlight w:val="none"/>
          <w:lang w:val="en-US" w:eastAsia="zh-CN"/>
        </w:rPr>
        <w:t>在</w:t>
      </w:r>
      <w:r>
        <w:rPr>
          <w:rFonts w:hint="eastAsia" w:ascii="仿宋_GB2312" w:hAnsi="仿宋_GB2312" w:eastAsia="仿宋_GB2312"/>
          <w:b w:val="0"/>
          <w:bCs w:val="0"/>
          <w:color w:val="auto"/>
          <w:spacing w:val="0"/>
          <w:kern w:val="0"/>
          <w:sz w:val="32"/>
          <w:szCs w:val="32"/>
          <w:highlight w:val="none"/>
          <w:lang w:val="en-US" w:eastAsia="zh-CN"/>
        </w:rPr>
        <w:t>合理区间，居民收入增长与经济发展基本同步，常住人口城镇化率</w:t>
      </w:r>
      <w:r>
        <w:rPr>
          <w:rFonts w:hint="eastAsia"/>
          <w:b w:val="0"/>
          <w:bCs w:val="0"/>
          <w:color w:val="auto"/>
          <w:spacing w:val="0"/>
          <w:kern w:val="0"/>
          <w:sz w:val="32"/>
          <w:szCs w:val="32"/>
          <w:highlight w:val="none"/>
          <w:lang w:val="en-US" w:eastAsia="zh-CN"/>
        </w:rPr>
        <w:t>持续提升</w:t>
      </w:r>
      <w:r>
        <w:rPr>
          <w:rFonts w:hint="eastAsia" w:ascii="仿宋_GB2312" w:hAnsi="仿宋_GB2312" w:eastAsia="仿宋_GB2312"/>
          <w:b w:val="0"/>
          <w:bCs w:val="0"/>
          <w:color w:val="auto"/>
          <w:spacing w:val="0"/>
          <w:kern w:val="0"/>
          <w:sz w:val="32"/>
          <w:szCs w:val="32"/>
          <w:highlight w:val="none"/>
          <w:lang w:val="en-US" w:eastAsia="zh-CN"/>
        </w:rPr>
        <w:t>。科技创新成为发展第一动力，新旧动能转换取得决定性突破，现代农业竞争力显著增强，工业强区建设成效卓著，县域经济实现强势崛起。营商环境建设纵深推进，市场主体活力充分迸发，海峡两岸新旧动能转换产业合作区</w:t>
      </w:r>
      <w:r>
        <w:rPr>
          <w:rFonts w:hint="eastAsia"/>
          <w:b w:val="0"/>
          <w:bCs w:val="0"/>
          <w:color w:val="auto"/>
          <w:spacing w:val="0"/>
          <w:kern w:val="0"/>
          <w:sz w:val="32"/>
          <w:szCs w:val="32"/>
          <w:highlight w:val="none"/>
          <w:lang w:val="en-US" w:eastAsia="zh-CN"/>
        </w:rPr>
        <w:t>、</w:t>
      </w:r>
      <w:r>
        <w:rPr>
          <w:rFonts w:hint="eastAsia" w:ascii="仿宋_GB2312" w:hAnsi="仿宋_GB2312" w:eastAsia="仿宋_GB2312"/>
          <w:b w:val="0"/>
          <w:bCs w:val="0"/>
          <w:color w:val="auto"/>
          <w:spacing w:val="0"/>
          <w:kern w:val="0"/>
          <w:sz w:val="32"/>
          <w:szCs w:val="32"/>
          <w:highlight w:val="none"/>
          <w:lang w:val="en-US" w:eastAsia="zh-CN"/>
        </w:rPr>
        <w:t>中国（济南）</w:t>
      </w:r>
      <w:r>
        <w:rPr>
          <w:rFonts w:hint="eastAsia"/>
          <w:b w:val="0"/>
          <w:bCs w:val="0"/>
          <w:color w:val="auto"/>
          <w:spacing w:val="0"/>
          <w:kern w:val="0"/>
          <w:sz w:val="32"/>
          <w:szCs w:val="32"/>
          <w:highlight w:val="none"/>
          <w:lang w:val="en-US" w:eastAsia="zh-CN"/>
        </w:rPr>
        <w:t>特殊</w:t>
      </w:r>
      <w:r>
        <w:rPr>
          <w:rFonts w:hint="eastAsia" w:ascii="仿宋_GB2312" w:hAnsi="仿宋_GB2312" w:eastAsia="仿宋_GB2312"/>
          <w:b w:val="0"/>
          <w:bCs w:val="0"/>
          <w:color w:val="auto"/>
          <w:spacing w:val="0"/>
          <w:kern w:val="0"/>
          <w:sz w:val="32"/>
          <w:szCs w:val="32"/>
          <w:highlight w:val="none"/>
          <w:lang w:val="en-US" w:eastAsia="zh-CN"/>
        </w:rPr>
        <w:t>食品城建设取得标志性成果。生态宜居品质全面提升，市民文明素养显著提高，更加公平均衡普惠可及的民生保障体系基本建成，建设黄河流域重要的教育体育强区和医疗康养福地。党的全面领导贯穿各领域，社会治理科学化、精细化、智慧化水平显著提升，平安、法治、诚信济阳建设走深走实。</w:t>
      </w:r>
    </w:p>
    <w:p w14:paraId="6836B3ED">
      <w:pPr>
        <w:keepNext w:val="0"/>
        <w:keepLines w:val="0"/>
        <w:pageBreakBefore w:val="0"/>
        <w:widowControl w:val="0"/>
        <w:shd w:val="clear"/>
        <w:kinsoku/>
        <w:wordWrap/>
        <w:overflowPunct w:val="0"/>
        <w:topLinePunct w:val="0"/>
        <w:autoSpaceDE/>
        <w:autoSpaceDN/>
        <w:bidi w:val="0"/>
        <w:adjustRightInd w:val="0"/>
        <w:snapToGrid w:val="0"/>
        <w:spacing w:beforeAutospacing="0" w:afterAutospacing="0" w:line="600" w:lineRule="exact"/>
        <w:jc w:val="center"/>
        <w:textAlignment w:val="auto"/>
        <w:outlineLvl w:val="9"/>
        <w:rPr>
          <w:rFonts w:hint="eastAsia" w:ascii="楷体_GB2312" w:hAnsi="楷体_GB2312" w:eastAsia="楷体_GB2312" w:cs="楷体_GB2312"/>
          <w:b w:val="0"/>
          <w:bCs w:val="0"/>
          <w:color w:val="auto"/>
          <w:kern w:val="0"/>
          <w:sz w:val="28"/>
          <w:szCs w:val="28"/>
          <w:highlight w:val="none"/>
          <w:lang w:val="en-US" w:eastAsia="zh-CN" w:bidi="ar-SA"/>
        </w:rPr>
      </w:pPr>
      <w:r>
        <w:rPr>
          <w:rFonts w:hint="eastAsia" w:ascii="楷体_GB2312" w:hAnsi="楷体_GB2312" w:eastAsia="楷体_GB2312" w:cs="楷体_GB2312"/>
          <w:b w:val="0"/>
          <w:bCs w:val="0"/>
          <w:color w:val="auto"/>
          <w:kern w:val="0"/>
          <w:sz w:val="28"/>
          <w:szCs w:val="28"/>
          <w:highlight w:val="none"/>
          <w:lang w:val="en-US" w:eastAsia="zh-CN" w:bidi="ar-SA"/>
        </w:rPr>
        <w:t>表1 “十五五”时期经济社会发展主要目标表</w:t>
      </w:r>
    </w:p>
    <w:tbl>
      <w:tblPr>
        <w:tblStyle w:val="18"/>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8"/>
        <w:gridCol w:w="2429"/>
        <w:gridCol w:w="1636"/>
        <w:gridCol w:w="1449"/>
        <w:gridCol w:w="1759"/>
        <w:gridCol w:w="1255"/>
      </w:tblGrid>
      <w:tr w14:paraId="6E11B1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047F6A99">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ascii="黑体" w:hAnsi="宋体" w:eastAsia="黑体" w:cs="黑体"/>
                <w:i w:val="0"/>
                <w:iCs w:val="0"/>
                <w:color w:val="000000"/>
                <w:sz w:val="24"/>
                <w:szCs w:val="24"/>
                <w:u w:val="none"/>
              </w:rPr>
            </w:pPr>
            <w:bookmarkStart w:id="47" w:name="_Toc6936"/>
            <w:bookmarkStart w:id="48" w:name="_Toc25580"/>
            <w:bookmarkStart w:id="49" w:name="_Toc2142"/>
            <w:bookmarkStart w:id="50" w:name="_Toc29093"/>
            <w:bookmarkStart w:id="51" w:name="_Toc17242"/>
            <w:bookmarkStart w:id="52" w:name="_Toc22504"/>
            <w:r>
              <w:rPr>
                <w:rFonts w:hint="eastAsia" w:ascii="黑体" w:hAnsi="宋体" w:eastAsia="黑体" w:cs="黑体"/>
                <w:i w:val="0"/>
                <w:iCs w:val="0"/>
                <w:color w:val="000000"/>
                <w:kern w:val="0"/>
                <w:sz w:val="24"/>
                <w:szCs w:val="24"/>
                <w:u w:val="none"/>
                <w:lang w:val="en-US" w:eastAsia="zh-CN" w:bidi="ar"/>
              </w:rPr>
              <w:t>序号</w:t>
            </w:r>
          </w:p>
        </w:tc>
        <w:tc>
          <w:tcPr>
            <w:tcW w:w="1341" w:type="pct"/>
            <w:tcBorders>
              <w:top w:val="single" w:color="auto" w:sz="4" w:space="0"/>
              <w:left w:val="single" w:color="auto" w:sz="4" w:space="0"/>
              <w:bottom w:val="single" w:color="auto" w:sz="4" w:space="0"/>
              <w:right w:val="single" w:color="auto" w:sz="4" w:space="0"/>
            </w:tcBorders>
            <w:shd w:val="clear" w:color="auto" w:fill="auto"/>
            <w:vAlign w:val="center"/>
          </w:tcPr>
          <w:p w14:paraId="49F3C1E0">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主要指标</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14:paraId="49041DB4">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2025年完成</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（部分预计）</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5D66A8B0">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2030年目标</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10647DE5">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年均增长</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2051B9DD">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指标属性</w:t>
            </w:r>
          </w:p>
        </w:tc>
      </w:tr>
      <w:tr w14:paraId="4D634D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1"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57D72941">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（一）经济发展</w:t>
            </w:r>
          </w:p>
        </w:tc>
      </w:tr>
      <w:tr w14:paraId="65717C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061159F2">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1</w:t>
            </w:r>
          </w:p>
        </w:tc>
        <w:tc>
          <w:tcPr>
            <w:tcW w:w="1341" w:type="pct"/>
            <w:tcBorders>
              <w:top w:val="single" w:color="auto" w:sz="4" w:space="0"/>
              <w:left w:val="single" w:color="auto" w:sz="4" w:space="0"/>
              <w:bottom w:val="single" w:color="auto" w:sz="4" w:space="0"/>
              <w:right w:val="single" w:color="auto" w:sz="4" w:space="0"/>
            </w:tcBorders>
            <w:shd w:val="clear" w:color="auto" w:fill="auto"/>
            <w:vAlign w:val="center"/>
          </w:tcPr>
          <w:p w14:paraId="12286397">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地区生产总值增速（%）</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14:paraId="20A573FC">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5</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6CF7A601">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659E718E">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5</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4F95FD08">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预期性</w:t>
            </w:r>
          </w:p>
        </w:tc>
      </w:tr>
      <w:tr w14:paraId="44FDF6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6A0A817F">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2</w:t>
            </w:r>
          </w:p>
        </w:tc>
        <w:tc>
          <w:tcPr>
            <w:tcW w:w="1341" w:type="pct"/>
            <w:tcBorders>
              <w:top w:val="single" w:color="auto" w:sz="4" w:space="0"/>
              <w:left w:val="single" w:color="auto" w:sz="4" w:space="0"/>
              <w:bottom w:val="single" w:color="auto" w:sz="4" w:space="0"/>
              <w:right w:val="single" w:color="auto" w:sz="4" w:space="0"/>
            </w:tcBorders>
            <w:shd w:val="clear" w:color="auto" w:fill="auto"/>
            <w:vAlign w:val="center"/>
          </w:tcPr>
          <w:p w14:paraId="7963BA0D">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社会消费品零售总额增速（%）</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14:paraId="463A5C61">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default" w:ascii="楷体_GB2312" w:hAnsi="宋体" w:eastAsia="楷体_GB2312" w:cs="楷体_GB2312"/>
                <w:i w:val="0"/>
                <w:iCs w:val="0"/>
                <w:color w:val="000000"/>
                <w:sz w:val="24"/>
                <w:szCs w:val="24"/>
                <w:u w:val="none"/>
                <w:lang w:val="en-US"/>
              </w:rPr>
            </w:pPr>
            <w:r>
              <w:rPr>
                <w:rFonts w:hint="eastAsia" w:ascii="楷体_GB2312" w:hAnsi="宋体" w:eastAsia="楷体_GB2312" w:cs="楷体_GB2312"/>
                <w:i w:val="0"/>
                <w:iCs w:val="0"/>
                <w:color w:val="000000"/>
                <w:kern w:val="0"/>
                <w:sz w:val="24"/>
                <w:szCs w:val="24"/>
                <w:u w:val="none"/>
                <w:lang w:val="en-US" w:eastAsia="zh-CN" w:bidi="ar"/>
              </w:rPr>
              <w:t>2.6</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2243A826">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728A090A">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5</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1C92469E">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预期性</w:t>
            </w:r>
          </w:p>
        </w:tc>
      </w:tr>
      <w:tr w14:paraId="0F4D79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0AB9D0DB">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3</w:t>
            </w:r>
          </w:p>
        </w:tc>
        <w:tc>
          <w:tcPr>
            <w:tcW w:w="1341" w:type="pct"/>
            <w:tcBorders>
              <w:top w:val="single" w:color="auto" w:sz="4" w:space="0"/>
              <w:left w:val="single" w:color="auto" w:sz="4" w:space="0"/>
              <w:bottom w:val="single" w:color="auto" w:sz="4" w:space="0"/>
              <w:right w:val="single" w:color="auto" w:sz="4" w:space="0"/>
            </w:tcBorders>
            <w:shd w:val="clear" w:color="auto" w:fill="auto"/>
            <w:vAlign w:val="center"/>
          </w:tcPr>
          <w:p w14:paraId="36A4A138">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常住人口城镇化率（%）</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14:paraId="23E4D75F">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47.5</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40885754">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53.5</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48E10A2D">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1.2</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0F9B8EF5">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预期性</w:t>
            </w:r>
          </w:p>
        </w:tc>
      </w:tr>
      <w:tr w14:paraId="5930D2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503B6DD">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（二）</w:t>
            </w:r>
            <w:r>
              <w:rPr>
                <w:rStyle w:val="34"/>
                <w:rFonts w:hAnsi="宋体"/>
                <w:lang w:val="en-US" w:eastAsia="zh-CN" w:bidi="ar"/>
              </w:rPr>
              <w:t>创新驱动</w:t>
            </w:r>
          </w:p>
        </w:tc>
      </w:tr>
      <w:tr w14:paraId="1EAEE7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4BC5B0AD">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4</w:t>
            </w:r>
          </w:p>
        </w:tc>
        <w:tc>
          <w:tcPr>
            <w:tcW w:w="1341" w:type="pct"/>
            <w:tcBorders>
              <w:top w:val="single" w:color="auto" w:sz="4" w:space="0"/>
              <w:left w:val="single" w:color="auto" w:sz="4" w:space="0"/>
              <w:bottom w:val="single" w:color="auto" w:sz="4" w:space="0"/>
              <w:right w:val="single" w:color="auto" w:sz="4" w:space="0"/>
            </w:tcBorders>
            <w:shd w:val="clear" w:color="auto" w:fill="auto"/>
            <w:vAlign w:val="center"/>
          </w:tcPr>
          <w:p w14:paraId="446CBA41">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全社会研发经费投入强度（%）</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14:paraId="3BDE94A8">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1.29</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5A4B0961">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2</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180C6BB9">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平均每年增长0.15个百分点</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5AB744B1">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预期性</w:t>
            </w:r>
          </w:p>
        </w:tc>
      </w:tr>
      <w:tr w14:paraId="2F6DA8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6286AA7F">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5</w:t>
            </w:r>
          </w:p>
        </w:tc>
        <w:tc>
          <w:tcPr>
            <w:tcW w:w="1341" w:type="pct"/>
            <w:tcBorders>
              <w:top w:val="single" w:color="auto" w:sz="4" w:space="0"/>
              <w:left w:val="single" w:color="auto" w:sz="4" w:space="0"/>
              <w:bottom w:val="single" w:color="auto" w:sz="4" w:space="0"/>
              <w:right w:val="single" w:color="auto" w:sz="4" w:space="0"/>
            </w:tcBorders>
            <w:shd w:val="clear" w:color="auto" w:fill="auto"/>
            <w:vAlign w:val="center"/>
          </w:tcPr>
          <w:p w14:paraId="70FEE807">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每万人口高价值发明专利拥有量（件）</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14:paraId="423BC504">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5.03</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6B6F30E3">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6.42</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7CDCB0D5">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5%</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6341046B">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预期性</w:t>
            </w:r>
          </w:p>
        </w:tc>
      </w:tr>
      <w:tr w14:paraId="16BD1F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5F8FF131">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（三）</w:t>
            </w:r>
            <w:r>
              <w:rPr>
                <w:rStyle w:val="34"/>
                <w:rFonts w:hAnsi="宋体"/>
                <w:lang w:val="en-US" w:eastAsia="zh-CN" w:bidi="ar"/>
              </w:rPr>
              <w:t>民生福祉</w:t>
            </w:r>
          </w:p>
        </w:tc>
      </w:tr>
      <w:tr w14:paraId="19DE16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4" w:hRule="atLeast"/>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7FCFD841">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6</w:t>
            </w:r>
          </w:p>
        </w:tc>
        <w:tc>
          <w:tcPr>
            <w:tcW w:w="1341" w:type="pct"/>
            <w:tcBorders>
              <w:top w:val="single" w:color="auto" w:sz="4" w:space="0"/>
              <w:left w:val="single" w:color="auto" w:sz="4" w:space="0"/>
              <w:bottom w:val="single" w:color="auto" w:sz="4" w:space="0"/>
              <w:right w:val="single" w:color="auto" w:sz="4" w:space="0"/>
            </w:tcBorders>
            <w:shd w:val="clear" w:color="auto" w:fill="auto"/>
            <w:vAlign w:val="center"/>
          </w:tcPr>
          <w:p w14:paraId="6CCE1070">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居民人均可支配收入增长（%）</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14:paraId="77A3FBE0">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5.6</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30ACA766">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与GDP增长同步</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4829CA7F">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与GDP增长同步</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6C6953F9">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预期性</w:t>
            </w:r>
          </w:p>
        </w:tc>
      </w:tr>
      <w:tr w14:paraId="75C03B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6530D939">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7</w:t>
            </w:r>
          </w:p>
        </w:tc>
        <w:tc>
          <w:tcPr>
            <w:tcW w:w="1341" w:type="pct"/>
            <w:tcBorders>
              <w:top w:val="single" w:color="auto" w:sz="4" w:space="0"/>
              <w:left w:val="single" w:color="auto" w:sz="4" w:space="0"/>
              <w:bottom w:val="single" w:color="auto" w:sz="4" w:space="0"/>
              <w:right w:val="single" w:color="auto" w:sz="4" w:space="0"/>
            </w:tcBorders>
            <w:shd w:val="clear" w:color="auto" w:fill="auto"/>
            <w:vAlign w:val="center"/>
          </w:tcPr>
          <w:p w14:paraId="6C687920">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新增城镇就业人数</w:t>
            </w:r>
            <w:r>
              <w:rPr>
                <w:rFonts w:hint="eastAsia" w:ascii="楷体_GB2312" w:hAnsi="宋体" w:eastAsia="楷体_GB2312" w:cs="楷体_GB2312"/>
                <w:i w:val="0"/>
                <w:iCs w:val="0"/>
                <w:color w:val="000000"/>
                <w:kern w:val="0"/>
                <w:sz w:val="24"/>
                <w:szCs w:val="24"/>
                <w:u w:val="none"/>
                <w:lang w:val="en-US" w:eastAsia="zh-CN" w:bidi="ar"/>
              </w:rPr>
              <w:br w:type="textWrapping"/>
            </w:r>
            <w:r>
              <w:rPr>
                <w:rFonts w:hint="eastAsia" w:ascii="楷体_GB2312" w:hAnsi="宋体" w:eastAsia="楷体_GB2312" w:cs="楷体_GB2312"/>
                <w:i w:val="0"/>
                <w:iCs w:val="0"/>
                <w:color w:val="000000"/>
                <w:kern w:val="0"/>
                <w:sz w:val="24"/>
                <w:szCs w:val="24"/>
                <w:u w:val="none"/>
                <w:lang w:val="en-US" w:eastAsia="zh-CN" w:bidi="ar"/>
              </w:rPr>
              <w:t>（万人）</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14:paraId="614355F3">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[1.8]</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561F3215">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[1.15]</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451536BC">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default" w:ascii="楷体_GB2312" w:hAnsi="宋体" w:eastAsia="楷体_GB2312" w:cs="楷体_GB2312"/>
                <w:i w:val="0"/>
                <w:iCs w:val="0"/>
                <w:color w:val="000000"/>
                <w:sz w:val="24"/>
                <w:szCs w:val="24"/>
                <w:u w:val="none"/>
                <w:lang w:val="en-US"/>
              </w:rPr>
            </w:pPr>
            <w:r>
              <w:rPr>
                <w:rFonts w:hint="eastAsia" w:ascii="楷体_GB2312" w:hAnsi="宋体" w:eastAsia="楷体_GB2312" w:cs="楷体_GB2312"/>
                <w:i w:val="0"/>
                <w:iCs w:val="0"/>
                <w:color w:val="000000"/>
                <w:kern w:val="0"/>
                <w:sz w:val="24"/>
                <w:szCs w:val="24"/>
                <w:u w:val="none"/>
                <w:lang w:val="en-US" w:eastAsia="zh-CN" w:bidi="ar"/>
              </w:rPr>
              <w:t>每年增长0.23万人</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2930327A">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预期性</w:t>
            </w:r>
          </w:p>
        </w:tc>
      </w:tr>
      <w:tr w14:paraId="474211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7760A9DE">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8</w:t>
            </w:r>
          </w:p>
        </w:tc>
        <w:tc>
          <w:tcPr>
            <w:tcW w:w="1341" w:type="pct"/>
            <w:tcBorders>
              <w:top w:val="single" w:color="auto" w:sz="4" w:space="0"/>
              <w:left w:val="single" w:color="auto" w:sz="4" w:space="0"/>
              <w:bottom w:val="single" w:color="auto" w:sz="4" w:space="0"/>
              <w:right w:val="single" w:color="auto" w:sz="4" w:space="0"/>
            </w:tcBorders>
            <w:shd w:val="clear" w:color="auto" w:fill="auto"/>
            <w:vAlign w:val="center"/>
          </w:tcPr>
          <w:p w14:paraId="59BF5BDD">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养老机构护理型床位占比（%）</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14:paraId="3BE39C85">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89</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12C0B7C1">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90</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08F28A5C">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0.2</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063BD687">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预期性</w:t>
            </w:r>
          </w:p>
        </w:tc>
      </w:tr>
      <w:tr w14:paraId="0B2AC7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25A76EFB">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highlight w:val="none"/>
                <w:u w:val="none"/>
              </w:rPr>
            </w:pPr>
            <w:r>
              <w:rPr>
                <w:rFonts w:hint="eastAsia" w:ascii="楷体_GB2312" w:hAnsi="宋体" w:eastAsia="楷体_GB2312" w:cs="楷体_GB2312"/>
                <w:i w:val="0"/>
                <w:iCs w:val="0"/>
                <w:color w:val="000000"/>
                <w:kern w:val="0"/>
                <w:sz w:val="24"/>
                <w:szCs w:val="24"/>
                <w:highlight w:val="none"/>
                <w:u w:val="none"/>
                <w:lang w:val="en-US" w:eastAsia="zh-CN" w:bidi="ar"/>
              </w:rPr>
              <w:t>9</w:t>
            </w:r>
          </w:p>
        </w:tc>
        <w:tc>
          <w:tcPr>
            <w:tcW w:w="1341" w:type="pct"/>
            <w:tcBorders>
              <w:top w:val="single" w:color="auto" w:sz="4" w:space="0"/>
              <w:left w:val="single" w:color="auto" w:sz="4" w:space="0"/>
              <w:bottom w:val="single" w:color="auto" w:sz="4" w:space="0"/>
              <w:right w:val="single" w:color="auto" w:sz="4" w:space="0"/>
            </w:tcBorders>
            <w:shd w:val="clear" w:color="auto" w:fill="auto"/>
            <w:vAlign w:val="center"/>
          </w:tcPr>
          <w:p w14:paraId="63D13C3C">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auto"/>
                <w:sz w:val="24"/>
                <w:szCs w:val="24"/>
                <w:highlight w:val="none"/>
                <w:u w:val="none"/>
              </w:rPr>
            </w:pPr>
            <w:r>
              <w:rPr>
                <w:rStyle w:val="35"/>
                <w:rFonts w:hAnsi="宋体"/>
                <w:color w:val="auto"/>
                <w:highlight w:val="none"/>
                <w:lang w:val="en-US" w:eastAsia="zh-CN" w:bidi="ar"/>
              </w:rPr>
              <w:t>3岁</w:t>
            </w:r>
            <w:r>
              <w:rPr>
                <w:rStyle w:val="35"/>
                <w:rFonts w:hint="eastAsia" w:hAnsi="宋体"/>
                <w:color w:val="auto"/>
                <w:highlight w:val="none"/>
                <w:lang w:val="en-US" w:eastAsia="zh-CN" w:bidi="ar"/>
              </w:rPr>
              <w:t>以下</w:t>
            </w:r>
            <w:r>
              <w:rPr>
                <w:rStyle w:val="35"/>
                <w:rFonts w:hAnsi="宋体"/>
                <w:color w:val="auto"/>
                <w:highlight w:val="none"/>
                <w:lang w:val="en-US" w:eastAsia="zh-CN" w:bidi="ar"/>
              </w:rPr>
              <w:t>婴幼儿入托率</w:t>
            </w:r>
            <w:r>
              <w:rPr>
                <w:rStyle w:val="35"/>
                <w:rFonts w:hint="eastAsia" w:hAnsi="宋体"/>
                <w:color w:val="auto"/>
                <w:highlight w:val="none"/>
                <w:lang w:val="en-US" w:eastAsia="zh-CN" w:bidi="ar"/>
              </w:rPr>
              <w:t>提高</w:t>
            </w:r>
            <w:r>
              <w:rPr>
                <w:rStyle w:val="35"/>
                <w:rFonts w:hAnsi="宋体"/>
                <w:color w:val="auto"/>
                <w:highlight w:val="none"/>
                <w:lang w:val="en-US" w:eastAsia="zh-CN" w:bidi="ar"/>
              </w:rPr>
              <w:t>（</w:t>
            </w:r>
            <w:r>
              <w:rPr>
                <w:rStyle w:val="35"/>
                <w:rFonts w:hint="eastAsia" w:hAnsi="宋体"/>
                <w:color w:val="auto"/>
                <w:highlight w:val="none"/>
                <w:lang w:val="en-US" w:eastAsia="zh-CN" w:bidi="ar"/>
              </w:rPr>
              <w:t>百分点</w:t>
            </w:r>
            <w:r>
              <w:rPr>
                <w:rStyle w:val="35"/>
                <w:rFonts w:hAnsi="宋体"/>
                <w:color w:val="auto"/>
                <w:highlight w:val="none"/>
                <w:lang w:val="en-US" w:eastAsia="zh-CN" w:bidi="ar"/>
              </w:rPr>
              <w:t>）</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14:paraId="7750E7D1">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auto"/>
                <w:sz w:val="24"/>
                <w:szCs w:val="24"/>
                <w:highlight w:val="none"/>
                <w:u w:val="none"/>
                <w:lang w:val="en-US" w:eastAsia="zh-CN"/>
              </w:rPr>
            </w:pPr>
            <w:r>
              <w:rPr>
                <w:rFonts w:hint="eastAsia" w:ascii="楷体_GB2312" w:hAnsi="宋体" w:eastAsia="楷体_GB2312" w:cs="楷体_GB2312"/>
                <w:i w:val="0"/>
                <w:iCs w:val="0"/>
                <w:color w:val="auto"/>
                <w:sz w:val="24"/>
                <w:szCs w:val="24"/>
                <w:highlight w:val="none"/>
                <w:u w:val="none"/>
                <w:lang w:val="en-US" w:eastAsia="zh-CN"/>
              </w:rPr>
              <w:t>-</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59A2FEF5">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default" w:ascii="楷体_GB2312" w:hAnsi="宋体" w:eastAsia="楷体_GB2312" w:cs="楷体_GB2312"/>
                <w:i w:val="0"/>
                <w:iCs w:val="0"/>
                <w:color w:val="000000"/>
                <w:kern w:val="0"/>
                <w:sz w:val="24"/>
                <w:szCs w:val="24"/>
                <w:u w:val="none"/>
                <w:lang w:val="en-US" w:eastAsia="zh-CN" w:bidi="ar"/>
              </w:rPr>
            </w:pPr>
            <w:r>
              <w:rPr>
                <w:rFonts w:hint="eastAsia" w:ascii="楷体_GB2312" w:hAnsi="宋体" w:eastAsia="楷体_GB2312" w:cs="楷体_GB2312"/>
                <w:i w:val="0"/>
                <w:iCs w:val="0"/>
                <w:color w:val="000000"/>
                <w:kern w:val="0"/>
                <w:sz w:val="24"/>
                <w:szCs w:val="24"/>
                <w:u w:val="none"/>
                <w:lang w:val="en-US" w:eastAsia="zh-CN" w:bidi="ar"/>
              </w:rPr>
              <w:t>与市级保持一致</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642010B8">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kern w:val="0"/>
                <w:sz w:val="24"/>
                <w:szCs w:val="24"/>
                <w:u w:val="none"/>
                <w:lang w:val="en-US" w:eastAsia="zh-CN" w:bidi="ar"/>
              </w:rPr>
            </w:pPr>
            <w:r>
              <w:rPr>
                <w:rFonts w:hint="eastAsia" w:ascii="楷体_GB2312" w:hAnsi="宋体" w:eastAsia="楷体_GB2312" w:cs="楷体_GB2312"/>
                <w:i w:val="0"/>
                <w:iCs w:val="0"/>
                <w:color w:val="000000"/>
                <w:kern w:val="0"/>
                <w:sz w:val="24"/>
                <w:szCs w:val="24"/>
                <w:u w:val="none"/>
                <w:lang w:val="en-US" w:eastAsia="zh-CN" w:bidi="ar"/>
              </w:rPr>
              <w:t>与市级保持一致</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749D5548">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auto"/>
                <w:sz w:val="24"/>
                <w:szCs w:val="24"/>
                <w:highlight w:val="none"/>
                <w:u w:val="none"/>
              </w:rPr>
            </w:pPr>
            <w:r>
              <w:rPr>
                <w:rFonts w:hint="eastAsia" w:ascii="楷体_GB2312" w:hAnsi="宋体" w:eastAsia="楷体_GB2312" w:cs="楷体_GB2312"/>
                <w:i w:val="0"/>
                <w:iCs w:val="0"/>
                <w:color w:val="auto"/>
                <w:kern w:val="0"/>
                <w:sz w:val="24"/>
                <w:szCs w:val="24"/>
                <w:highlight w:val="none"/>
                <w:u w:val="none"/>
                <w:lang w:val="en-US" w:eastAsia="zh-CN" w:bidi="ar"/>
              </w:rPr>
              <w:t>预期性</w:t>
            </w:r>
          </w:p>
        </w:tc>
      </w:tr>
      <w:tr w14:paraId="1C7340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0ABBF2FC">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10</w:t>
            </w:r>
          </w:p>
        </w:tc>
        <w:tc>
          <w:tcPr>
            <w:tcW w:w="1341" w:type="pct"/>
            <w:tcBorders>
              <w:top w:val="single" w:color="auto" w:sz="4" w:space="0"/>
              <w:left w:val="single" w:color="auto" w:sz="4" w:space="0"/>
              <w:bottom w:val="single" w:color="auto" w:sz="4" w:space="0"/>
              <w:right w:val="single" w:color="auto" w:sz="4" w:space="0"/>
            </w:tcBorders>
            <w:shd w:val="clear" w:color="auto" w:fill="auto"/>
            <w:vAlign w:val="center"/>
          </w:tcPr>
          <w:p w14:paraId="29FF78C9">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人均预期寿命（岁）</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14:paraId="2C3DCAE9">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81.4</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37B37E35">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82.6</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1DBD0020">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0.24</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30D705EB">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预期性</w:t>
            </w:r>
          </w:p>
        </w:tc>
      </w:tr>
      <w:tr w14:paraId="3F5F99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BA59998">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（四</w:t>
            </w:r>
            <w:r>
              <w:rPr>
                <w:rStyle w:val="34"/>
                <w:rFonts w:hAnsi="宋体"/>
                <w:lang w:val="en-US" w:eastAsia="zh-CN" w:bidi="ar"/>
              </w:rPr>
              <w:t>）绿色生态</w:t>
            </w:r>
          </w:p>
        </w:tc>
      </w:tr>
      <w:tr w14:paraId="4627E2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71DF1C4C">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11</w:t>
            </w:r>
          </w:p>
        </w:tc>
        <w:tc>
          <w:tcPr>
            <w:tcW w:w="1341" w:type="pct"/>
            <w:tcBorders>
              <w:top w:val="single" w:color="auto" w:sz="4" w:space="0"/>
              <w:left w:val="single" w:color="auto" w:sz="4" w:space="0"/>
              <w:bottom w:val="single" w:color="auto" w:sz="4" w:space="0"/>
              <w:right w:val="single" w:color="auto" w:sz="4" w:space="0"/>
            </w:tcBorders>
            <w:shd w:val="clear" w:color="auto" w:fill="auto"/>
            <w:vAlign w:val="center"/>
          </w:tcPr>
          <w:p w14:paraId="4E5F5A84">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单位地区生产总值二氧化碳排放降低（%）</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14:paraId="1ECF49F2">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预计可完成指标</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350CB16B">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完成市下达任务</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593B0AFB">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0EBFF232">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约束性</w:t>
            </w:r>
          </w:p>
        </w:tc>
      </w:tr>
      <w:tr w14:paraId="6C8DD0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06C1C17F">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12</w:t>
            </w:r>
          </w:p>
        </w:tc>
        <w:tc>
          <w:tcPr>
            <w:tcW w:w="1341" w:type="pct"/>
            <w:tcBorders>
              <w:top w:val="single" w:color="auto" w:sz="4" w:space="0"/>
              <w:left w:val="single" w:color="auto" w:sz="4" w:space="0"/>
              <w:bottom w:val="single" w:color="auto" w:sz="4" w:space="0"/>
              <w:right w:val="single" w:color="auto" w:sz="4" w:space="0"/>
            </w:tcBorders>
            <w:shd w:val="clear" w:color="auto" w:fill="auto"/>
            <w:vAlign w:val="center"/>
          </w:tcPr>
          <w:p w14:paraId="188010F9">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非化石能源消费占能源消费总量比重（%）</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14:paraId="71FF8447">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待市级反馈</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4A75477E">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完成市下达任务</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7A98AC54">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完成市下达任务</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5FB12C7B">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约束性</w:t>
            </w:r>
          </w:p>
        </w:tc>
      </w:tr>
      <w:tr w14:paraId="4A443B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339A0B1E">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13</w:t>
            </w:r>
          </w:p>
        </w:tc>
        <w:tc>
          <w:tcPr>
            <w:tcW w:w="1341" w:type="pct"/>
            <w:tcBorders>
              <w:top w:val="single" w:color="auto" w:sz="4" w:space="0"/>
              <w:left w:val="single" w:color="auto" w:sz="4" w:space="0"/>
              <w:bottom w:val="single" w:color="auto" w:sz="4" w:space="0"/>
              <w:right w:val="single" w:color="auto" w:sz="4" w:space="0"/>
            </w:tcBorders>
            <w:shd w:val="clear" w:color="auto" w:fill="auto"/>
            <w:vAlign w:val="center"/>
          </w:tcPr>
          <w:p w14:paraId="0FCFC25B">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细颗粒物浓度</w:t>
            </w:r>
            <w:r>
              <w:rPr>
                <w:rFonts w:hint="eastAsia" w:ascii="楷体_GB2312" w:hAnsi="宋体" w:eastAsia="楷体_GB2312" w:cs="楷体_GB2312"/>
                <w:i w:val="0"/>
                <w:iCs w:val="0"/>
                <w:color w:val="000000"/>
                <w:kern w:val="0"/>
                <w:sz w:val="24"/>
                <w:szCs w:val="24"/>
                <w:u w:val="none"/>
                <w:lang w:val="en-US" w:eastAsia="zh-CN" w:bidi="ar"/>
              </w:rPr>
              <w:br w:type="textWrapping"/>
            </w:r>
            <w:r>
              <w:rPr>
                <w:rFonts w:hint="eastAsia" w:ascii="楷体_GB2312" w:hAnsi="宋体" w:eastAsia="楷体_GB2312" w:cs="楷体_GB2312"/>
                <w:i w:val="0"/>
                <w:iCs w:val="0"/>
                <w:color w:val="000000"/>
                <w:kern w:val="0"/>
                <w:sz w:val="24"/>
                <w:szCs w:val="24"/>
                <w:u w:val="none"/>
                <w:lang w:val="en-US" w:eastAsia="zh-CN" w:bidi="ar"/>
              </w:rPr>
              <w:t>（微克/立方米）</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14:paraId="24E33DD8">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34</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79448BDF">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完成市下达任务</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4B0C4916">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67407203">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约束性</w:t>
            </w:r>
          </w:p>
        </w:tc>
      </w:tr>
      <w:tr w14:paraId="5EFB8D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29B287EB">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14</w:t>
            </w:r>
          </w:p>
        </w:tc>
        <w:tc>
          <w:tcPr>
            <w:tcW w:w="1341" w:type="pct"/>
            <w:tcBorders>
              <w:top w:val="single" w:color="auto" w:sz="4" w:space="0"/>
              <w:left w:val="single" w:color="auto" w:sz="4" w:space="0"/>
              <w:bottom w:val="single" w:color="auto" w:sz="4" w:space="0"/>
              <w:right w:val="single" w:color="auto" w:sz="4" w:space="0"/>
            </w:tcBorders>
            <w:shd w:val="clear" w:color="auto" w:fill="auto"/>
            <w:vAlign w:val="center"/>
          </w:tcPr>
          <w:p w14:paraId="2F9AEF7D">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优良水体比例（%）</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14:paraId="165F2DE1">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完成市下达任务</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4C1002C3">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完成市下达任务</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6DD25A5B">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完成市下达任务</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0286CDEE">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约束性</w:t>
            </w:r>
          </w:p>
        </w:tc>
      </w:tr>
      <w:tr w14:paraId="4CF45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1BFC26BE">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（五</w:t>
            </w:r>
            <w:r>
              <w:rPr>
                <w:rStyle w:val="34"/>
                <w:rFonts w:hAnsi="宋体"/>
                <w:lang w:val="en-US" w:eastAsia="zh-CN" w:bidi="ar"/>
              </w:rPr>
              <w:t>）安全保障</w:t>
            </w:r>
          </w:p>
        </w:tc>
      </w:tr>
      <w:tr w14:paraId="21D376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306" w:hRule="atLeast"/>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0318F12C">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15</w:t>
            </w:r>
          </w:p>
        </w:tc>
        <w:tc>
          <w:tcPr>
            <w:tcW w:w="1341" w:type="pct"/>
            <w:tcBorders>
              <w:top w:val="single" w:color="auto" w:sz="4" w:space="0"/>
              <w:left w:val="single" w:color="auto" w:sz="4" w:space="0"/>
              <w:bottom w:val="single" w:color="auto" w:sz="4" w:space="0"/>
              <w:right w:val="single" w:color="auto" w:sz="4" w:space="0"/>
            </w:tcBorders>
            <w:shd w:val="clear" w:color="auto" w:fill="auto"/>
            <w:vAlign w:val="center"/>
          </w:tcPr>
          <w:p w14:paraId="43AF1C82">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粮食综合生产能力</w:t>
            </w:r>
            <w:r>
              <w:rPr>
                <w:rFonts w:hint="eastAsia" w:ascii="楷体_GB2312" w:hAnsi="宋体" w:eastAsia="楷体_GB2312" w:cs="楷体_GB2312"/>
                <w:i w:val="0"/>
                <w:iCs w:val="0"/>
                <w:color w:val="000000"/>
                <w:kern w:val="0"/>
                <w:sz w:val="24"/>
                <w:szCs w:val="24"/>
                <w:u w:val="none"/>
                <w:lang w:val="en-US" w:eastAsia="zh-CN" w:bidi="ar"/>
              </w:rPr>
              <w:br w:type="textWrapping"/>
            </w:r>
            <w:r>
              <w:rPr>
                <w:rFonts w:hint="eastAsia" w:ascii="楷体_GB2312" w:hAnsi="宋体" w:eastAsia="楷体_GB2312" w:cs="楷体_GB2312"/>
                <w:i w:val="0"/>
                <w:iCs w:val="0"/>
                <w:color w:val="000000"/>
                <w:kern w:val="0"/>
                <w:sz w:val="24"/>
                <w:szCs w:val="24"/>
                <w:u w:val="none"/>
                <w:lang w:val="en-US" w:eastAsia="zh-CN" w:bidi="ar"/>
              </w:rPr>
              <w:t>（万吨）</w:t>
            </w:r>
          </w:p>
        </w:tc>
        <w:tc>
          <w:tcPr>
            <w:tcW w:w="903" w:type="pct"/>
            <w:tcBorders>
              <w:top w:val="single" w:color="auto" w:sz="4" w:space="0"/>
              <w:left w:val="single" w:color="auto" w:sz="4" w:space="0"/>
              <w:bottom w:val="single" w:color="auto" w:sz="4" w:space="0"/>
              <w:right w:val="single" w:color="auto" w:sz="4" w:space="0"/>
            </w:tcBorders>
            <w:shd w:val="clear" w:color="auto" w:fill="auto"/>
            <w:vAlign w:val="center"/>
          </w:tcPr>
          <w:p w14:paraId="7E058EBF">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64.4</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196CB149">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64.59</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75ED6CC8">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2026年市定目标64.55万吨，此后年均增长0.01万吨。</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14:paraId="4114C50C">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center"/>
              <w:textAlignment w:val="center"/>
              <w:rPr>
                <w:rFonts w:hint="eastAsia" w:ascii="楷体_GB2312" w:hAnsi="宋体" w:eastAsia="楷体_GB2312" w:cs="楷体_GB2312"/>
                <w:i w:val="0"/>
                <w:iCs w:val="0"/>
                <w:color w:val="000000"/>
                <w:sz w:val="24"/>
                <w:szCs w:val="24"/>
                <w:u w:val="none"/>
              </w:rPr>
            </w:pPr>
            <w:r>
              <w:rPr>
                <w:rFonts w:hint="eastAsia" w:ascii="楷体_GB2312" w:hAnsi="宋体" w:eastAsia="楷体_GB2312" w:cs="楷体_GB2312"/>
                <w:i w:val="0"/>
                <w:iCs w:val="0"/>
                <w:color w:val="000000"/>
                <w:kern w:val="0"/>
                <w:sz w:val="24"/>
                <w:szCs w:val="24"/>
                <w:u w:val="none"/>
                <w:lang w:val="en-US" w:eastAsia="zh-CN" w:bidi="ar"/>
              </w:rPr>
              <w:t>约束性</w:t>
            </w:r>
          </w:p>
        </w:tc>
      </w:tr>
      <w:tr w14:paraId="5C45B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7146083C">
            <w:pPr>
              <w:keepNext w:val="0"/>
              <w:keepLines w:val="0"/>
              <w:pageBreakBefore w:val="0"/>
              <w:widowControl/>
              <w:suppressLineNumbers w:val="0"/>
              <w:kinsoku/>
              <w:wordWrap/>
              <w:overflowPunct w:val="0"/>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注释：加[ ]指标为累计数。</w:t>
            </w:r>
          </w:p>
        </w:tc>
      </w:tr>
    </w:tbl>
    <w:p w14:paraId="2FF89F73">
      <w:pPr>
        <w:keepNext w:val="0"/>
        <w:keepLines w:val="0"/>
        <w:pageBreakBefore w:val="0"/>
        <w:widowControl w:val="0"/>
        <w:shd w:val="clear"/>
        <w:kinsoku/>
        <w:wordWrap/>
        <w:overflowPunct w:val="0"/>
        <w:topLinePunct w:val="0"/>
        <w:autoSpaceDE/>
        <w:autoSpaceDN/>
        <w:bidi w:val="0"/>
        <w:adjustRightInd/>
        <w:snapToGrid/>
        <w:spacing w:beforeAutospacing="0" w:afterLines="0" w:afterAutospacing="0" w:line="600" w:lineRule="exact"/>
        <w:ind w:firstLine="640" w:firstLineChars="200"/>
        <w:jc w:val="both"/>
        <w:textAlignment w:val="auto"/>
        <w:outlineLvl w:val="1"/>
        <w:rPr>
          <w:rFonts w:hint="eastAsia" w:ascii="黑体" w:hAnsi="黑体" w:eastAsia="黑体" w:cs="黑体"/>
          <w:color w:val="auto"/>
          <w:spacing w:val="0"/>
          <w:sz w:val="32"/>
          <w:highlight w:val="none"/>
          <w:lang w:val="en-US" w:eastAsia="zh-CN"/>
        </w:rPr>
      </w:pPr>
      <w:bookmarkStart w:id="53" w:name="_Toc12423"/>
      <w:r>
        <w:rPr>
          <w:rFonts w:hint="eastAsia" w:ascii="黑体" w:hAnsi="黑体" w:eastAsia="黑体" w:cs="黑体"/>
          <w:color w:val="auto"/>
          <w:spacing w:val="0"/>
          <w:sz w:val="32"/>
          <w:highlight w:val="none"/>
          <w:lang w:val="en-US" w:eastAsia="zh-CN"/>
        </w:rPr>
        <w:t>六、空间布局</w:t>
      </w:r>
      <w:bookmarkEnd w:id="47"/>
      <w:bookmarkEnd w:id="53"/>
    </w:p>
    <w:p w14:paraId="237EC37D">
      <w:pPr>
        <w:pStyle w:val="6"/>
        <w:keepNext w:val="0"/>
        <w:keepLines w:val="0"/>
        <w:pageBreakBefore w:val="0"/>
        <w:shd w:val="clear"/>
        <w:kinsoku/>
        <w:wordWrap/>
        <w:overflowPunct w:val="0"/>
        <w:topLinePunct w:val="0"/>
        <w:bidi w:val="0"/>
        <w:spacing w:after="0"/>
        <w:ind w:firstLine="640"/>
        <w:jc w:val="both"/>
        <w:textAlignment w:val="auto"/>
        <w:rPr>
          <w:rFonts w:hint="eastAsia"/>
          <w:color w:val="auto"/>
          <w:highlight w:val="none"/>
          <w:lang w:eastAsia="zh-CN"/>
        </w:rPr>
      </w:pPr>
      <w:r>
        <w:rPr>
          <w:rFonts w:hint="eastAsia" w:hAnsi="黑体"/>
          <w:color w:val="auto"/>
          <w:szCs w:val="32"/>
          <w:highlight w:val="none"/>
          <w:lang w:val="en-US" w:eastAsia="zh-CN"/>
        </w:rPr>
        <w:t>按照区域协调、</w:t>
      </w:r>
      <w:r>
        <w:rPr>
          <w:rFonts w:hint="eastAsia" w:ascii="仿宋_GB2312" w:hAnsi="黑体"/>
          <w:color w:val="auto"/>
          <w:szCs w:val="32"/>
          <w:highlight w:val="none"/>
          <w:lang w:eastAsia="zh-CN"/>
        </w:rPr>
        <w:t>产城融合</w:t>
      </w:r>
      <w:r>
        <w:rPr>
          <w:rFonts w:hint="eastAsia" w:hAnsi="黑体"/>
          <w:color w:val="auto"/>
          <w:szCs w:val="32"/>
          <w:highlight w:val="none"/>
          <w:lang w:val="en-US" w:eastAsia="zh-CN"/>
        </w:rPr>
        <w:t>、突出特色</w:t>
      </w:r>
      <w:r>
        <w:rPr>
          <w:rFonts w:hint="eastAsia" w:ascii="仿宋_GB2312" w:hAnsi="黑体"/>
          <w:color w:val="auto"/>
          <w:szCs w:val="32"/>
          <w:highlight w:val="none"/>
          <w:lang w:eastAsia="zh-CN"/>
        </w:rPr>
        <w:t>的理念，</w:t>
      </w:r>
      <w:r>
        <w:rPr>
          <w:rFonts w:hint="eastAsia" w:ascii="仿宋_GB2312" w:hAnsi="仿宋_GB2312" w:cs="仿宋_GB2312"/>
          <w:color w:val="auto"/>
          <w:szCs w:val="32"/>
          <w:highlight w:val="none"/>
          <w:lang w:eastAsia="zh-CN"/>
        </w:rPr>
        <w:t>兼顾空间拓展与内涵提升</w:t>
      </w:r>
      <w:r>
        <w:rPr>
          <w:rFonts w:hint="eastAsia" w:ascii="Times New Roman" w:hAnsi="Times New Roman"/>
          <w:color w:val="auto"/>
          <w:highlight w:val="none"/>
          <w:lang w:eastAsia="zh-CN"/>
        </w:rPr>
        <w:t>，</w:t>
      </w:r>
      <w:r>
        <w:rPr>
          <w:rFonts w:ascii="仿宋_GB2312" w:hAnsi="宋体" w:eastAsia="仿宋_GB2312" w:cs="仿宋_GB2312"/>
          <w:color w:val="auto"/>
          <w:kern w:val="0"/>
          <w:sz w:val="32"/>
          <w:szCs w:val="32"/>
          <w:highlight w:val="none"/>
          <w:lang w:val="en-US" w:eastAsia="zh-CN" w:bidi="ar"/>
        </w:rPr>
        <w:t>构建</w:t>
      </w:r>
      <w:r>
        <w:rPr>
          <w:rFonts w:hint="eastAsia" w:ascii="仿宋_GB2312" w:hAnsi="宋体" w:eastAsia="仿宋_GB2312" w:cs="仿宋_GB2312"/>
          <w:color w:val="auto"/>
          <w:kern w:val="0"/>
          <w:sz w:val="32"/>
          <w:szCs w:val="32"/>
          <w:highlight w:val="none"/>
          <w:lang w:val="en-US" w:eastAsia="zh-CN" w:bidi="ar"/>
        </w:rPr>
        <w:t>“一体两翼、一轴双廊”的</w:t>
      </w:r>
      <w:r>
        <w:rPr>
          <w:rFonts w:hint="eastAsia" w:hAnsi="宋体" w:cs="仿宋_GB2312"/>
          <w:color w:val="auto"/>
          <w:kern w:val="0"/>
          <w:sz w:val="32"/>
          <w:szCs w:val="32"/>
          <w:highlight w:val="none"/>
          <w:lang w:val="en-US" w:eastAsia="zh-CN" w:bidi="ar"/>
        </w:rPr>
        <w:t>发展布局，</w:t>
      </w:r>
      <w:r>
        <w:rPr>
          <w:rFonts w:hint="eastAsia" w:ascii="Times New Roman" w:hAnsi="Times New Roman" w:cs="Times New Roman"/>
          <w:snapToGrid w:val="0"/>
          <w:color w:val="auto"/>
          <w:kern w:val="0"/>
          <w:szCs w:val="32"/>
          <w:highlight w:val="none"/>
          <w:lang w:val="zh-CN"/>
        </w:rPr>
        <w:t>引导生产生活生态功能优化布局</w:t>
      </w:r>
      <w:r>
        <w:rPr>
          <w:rFonts w:hint="eastAsia"/>
          <w:color w:val="auto"/>
          <w:highlight w:val="none"/>
          <w:lang w:eastAsia="zh-CN"/>
        </w:rPr>
        <w:t>。</w:t>
      </w:r>
    </w:p>
    <w:p w14:paraId="556744FA">
      <w:pPr>
        <w:keepNext w:val="0"/>
        <w:keepLines w:val="0"/>
        <w:pageBreakBefore w:val="0"/>
        <w:widowControl/>
        <w:suppressLineNumbers w:val="0"/>
        <w:shd w:val="clear"/>
        <w:kinsoku/>
        <w:wordWrap/>
        <w:overflowPunct w:val="0"/>
        <w:topLinePunct w:val="0"/>
        <w:bidi w:val="0"/>
        <w:spacing w:afterLines="0"/>
        <w:jc w:val="both"/>
        <w:textAlignment w:val="auto"/>
        <w:rPr>
          <w:color w:val="auto"/>
          <w:highlight w:val="none"/>
        </w:rPr>
      </w:pPr>
      <w:r>
        <w:rPr>
          <w:rFonts w:ascii="仿宋_GB2312" w:hAnsi="宋体" w:eastAsia="仿宋_GB2312" w:cs="仿宋_GB2312"/>
          <w:b/>
          <w:bCs/>
          <w:color w:val="auto"/>
          <w:kern w:val="0"/>
          <w:sz w:val="32"/>
          <w:szCs w:val="32"/>
          <w:highlight w:val="none"/>
          <w:lang w:val="en-US" w:eastAsia="zh-CN" w:bidi="ar"/>
        </w:rPr>
        <w:t>“一体”为济阳区中心城区</w:t>
      </w:r>
      <w:r>
        <w:rPr>
          <w:rFonts w:hint="eastAsia" w:hAnsi="宋体" w:cs="仿宋_GB2312"/>
          <w:color w:val="auto"/>
          <w:kern w:val="0"/>
          <w:sz w:val="32"/>
          <w:szCs w:val="32"/>
          <w:highlight w:val="none"/>
          <w:lang w:val="en-US" w:eastAsia="zh-CN" w:bidi="ar"/>
        </w:rPr>
        <w:t>。</w:t>
      </w:r>
      <w:r>
        <w:rPr>
          <w:rFonts w:ascii="仿宋_GB2312" w:hAnsi="宋体" w:eastAsia="仿宋_GB2312" w:cs="仿宋_GB2312"/>
          <w:color w:val="auto"/>
          <w:kern w:val="0"/>
          <w:sz w:val="32"/>
          <w:szCs w:val="32"/>
          <w:highlight w:val="none"/>
          <w:lang w:val="en-US" w:eastAsia="zh-CN" w:bidi="ar"/>
        </w:rPr>
        <w:t>承担</w:t>
      </w:r>
      <w:r>
        <w:rPr>
          <w:rFonts w:hint="eastAsia" w:hAnsi="宋体" w:cs="仿宋_GB2312"/>
          <w:color w:val="auto"/>
          <w:kern w:val="0"/>
          <w:sz w:val="32"/>
          <w:szCs w:val="32"/>
          <w:highlight w:val="none"/>
          <w:lang w:val="en-US" w:eastAsia="zh-CN" w:bidi="ar"/>
        </w:rPr>
        <w:t>全</w:t>
      </w:r>
      <w:r>
        <w:rPr>
          <w:rFonts w:ascii="仿宋_GB2312" w:hAnsi="宋体" w:eastAsia="仿宋_GB2312" w:cs="仿宋_GB2312"/>
          <w:color w:val="auto"/>
          <w:kern w:val="0"/>
          <w:sz w:val="32"/>
          <w:szCs w:val="32"/>
          <w:highlight w:val="none"/>
          <w:lang w:val="en-US" w:eastAsia="zh-CN" w:bidi="ar"/>
        </w:rPr>
        <w:t>区政治、经济、文化、商业中心职</w:t>
      </w:r>
      <w:r>
        <w:rPr>
          <w:rFonts w:hint="eastAsia" w:ascii="仿宋_GB2312" w:hAnsi="宋体" w:eastAsia="仿宋_GB2312" w:cs="仿宋_GB2312"/>
          <w:color w:val="auto"/>
          <w:kern w:val="0"/>
          <w:sz w:val="32"/>
          <w:szCs w:val="32"/>
          <w:highlight w:val="none"/>
          <w:lang w:val="en-US" w:eastAsia="zh-CN" w:bidi="ar"/>
        </w:rPr>
        <w:t>能，</w:t>
      </w:r>
      <w:r>
        <w:rPr>
          <w:rFonts w:hint="eastAsia"/>
          <w:color w:val="auto"/>
          <w:highlight w:val="none"/>
        </w:rPr>
        <w:t>促进</w:t>
      </w:r>
      <w:r>
        <w:rPr>
          <w:rFonts w:hint="eastAsia"/>
          <w:color w:val="auto"/>
          <w:highlight w:val="none"/>
          <w:lang w:val="en-US" w:eastAsia="zh-CN"/>
        </w:rPr>
        <w:t>中心城区</w:t>
      </w:r>
      <w:r>
        <w:rPr>
          <w:rFonts w:hint="eastAsia"/>
          <w:color w:val="auto"/>
          <w:highlight w:val="none"/>
        </w:rPr>
        <w:t>工业区、商务区、文教区、生活区、行政区科学衔接与混合嵌套，实现产城融合、职住平衡</w:t>
      </w:r>
      <w:r>
        <w:rPr>
          <w:rFonts w:hint="eastAsia"/>
          <w:color w:val="auto"/>
          <w:highlight w:val="none"/>
          <w:lang w:eastAsia="zh-CN"/>
        </w:rPr>
        <w:t>，</w:t>
      </w:r>
      <w:r>
        <w:rPr>
          <w:rFonts w:hint="eastAsia"/>
          <w:color w:val="auto"/>
          <w:highlight w:val="none"/>
          <w:lang w:val="en-US" w:eastAsia="zh-CN"/>
        </w:rPr>
        <w:t>打造</w:t>
      </w:r>
      <w:r>
        <w:rPr>
          <w:rFonts w:hint="eastAsia" w:ascii="仿宋_GB2312" w:hAnsi="宋体" w:eastAsia="仿宋_GB2312" w:cs="仿宋_GB2312"/>
          <w:color w:val="auto"/>
          <w:kern w:val="0"/>
          <w:sz w:val="32"/>
          <w:szCs w:val="32"/>
          <w:highlight w:val="none"/>
          <w:lang w:val="en-US" w:eastAsia="zh-CN" w:bidi="ar"/>
        </w:rPr>
        <w:t>新型城镇化建设的主要载体</w:t>
      </w:r>
      <w:r>
        <w:rPr>
          <w:rFonts w:hint="eastAsia" w:hAnsi="宋体" w:cs="仿宋_GB2312"/>
          <w:color w:val="auto"/>
          <w:kern w:val="0"/>
          <w:sz w:val="32"/>
          <w:szCs w:val="32"/>
          <w:highlight w:val="none"/>
          <w:lang w:val="en-US" w:eastAsia="zh-CN" w:bidi="ar"/>
        </w:rPr>
        <w:t>、引领</w:t>
      </w:r>
      <w:r>
        <w:rPr>
          <w:rFonts w:hint="eastAsia" w:ascii="仿宋_GB2312" w:hAnsi="宋体" w:eastAsia="仿宋_GB2312" w:cs="仿宋_GB2312"/>
          <w:color w:val="auto"/>
          <w:kern w:val="0"/>
          <w:sz w:val="32"/>
          <w:szCs w:val="32"/>
          <w:highlight w:val="none"/>
          <w:lang w:val="en-US" w:eastAsia="zh-CN" w:bidi="ar"/>
        </w:rPr>
        <w:t>全区高质量发展的核心</w:t>
      </w:r>
      <w:r>
        <w:rPr>
          <w:rFonts w:hint="eastAsia" w:hAnsi="宋体" w:cs="仿宋_GB2312"/>
          <w:color w:val="auto"/>
          <w:kern w:val="0"/>
          <w:sz w:val="32"/>
          <w:szCs w:val="32"/>
          <w:highlight w:val="none"/>
          <w:lang w:val="en-US" w:eastAsia="zh-CN" w:bidi="ar"/>
        </w:rPr>
        <w:t>引擎</w:t>
      </w:r>
      <w:r>
        <w:rPr>
          <w:rFonts w:hint="eastAsia" w:ascii="仿宋_GB2312" w:hAnsi="宋体" w:eastAsia="仿宋_GB2312" w:cs="仿宋_GB2312"/>
          <w:color w:val="auto"/>
          <w:kern w:val="0"/>
          <w:sz w:val="32"/>
          <w:szCs w:val="32"/>
          <w:highlight w:val="none"/>
          <w:lang w:val="en-US" w:eastAsia="zh-CN" w:bidi="ar"/>
        </w:rPr>
        <w:t>。</w:t>
      </w:r>
    </w:p>
    <w:p w14:paraId="1B828570">
      <w:pPr>
        <w:keepNext w:val="0"/>
        <w:keepLines w:val="0"/>
        <w:pageBreakBefore w:val="0"/>
        <w:widowControl/>
        <w:suppressLineNumbers w:val="0"/>
        <w:shd w:val="clear"/>
        <w:kinsoku/>
        <w:wordWrap/>
        <w:overflowPunct w:val="0"/>
        <w:topLinePunct w:val="0"/>
        <w:bidi w:val="0"/>
        <w:spacing w:afterLines="0"/>
        <w:jc w:val="both"/>
        <w:textAlignment w:val="auto"/>
        <w:rPr>
          <w:color w:val="auto"/>
          <w:highlight w:val="none"/>
        </w:rPr>
      </w:pPr>
      <w:r>
        <w:rPr>
          <w:rFonts w:hint="eastAsia" w:ascii="仿宋_GB2312" w:hAnsi="宋体" w:eastAsia="仿宋_GB2312" w:cs="仿宋_GB2312"/>
          <w:b/>
          <w:bCs/>
          <w:color w:val="auto"/>
          <w:kern w:val="0"/>
          <w:sz w:val="32"/>
          <w:szCs w:val="32"/>
          <w:highlight w:val="none"/>
          <w:lang w:val="en-US" w:eastAsia="zh-CN" w:bidi="ar"/>
        </w:rPr>
        <w:t>“两翼”为东翼、西翼</w:t>
      </w:r>
      <w:r>
        <w:rPr>
          <w:rFonts w:hint="eastAsia" w:hAnsi="宋体" w:cs="仿宋_GB2312"/>
          <w:color w:val="auto"/>
          <w:kern w:val="0"/>
          <w:sz w:val="32"/>
          <w:szCs w:val="32"/>
          <w:highlight w:val="none"/>
          <w:lang w:val="en-US" w:eastAsia="zh-CN" w:bidi="ar"/>
        </w:rPr>
        <w:t>。</w:t>
      </w:r>
      <w:r>
        <w:rPr>
          <w:rFonts w:hint="eastAsia" w:ascii="仿宋_GB2312" w:hAnsi="宋体" w:eastAsia="仿宋_GB2312" w:cs="仿宋_GB2312"/>
          <w:color w:val="auto"/>
          <w:kern w:val="0"/>
          <w:sz w:val="32"/>
          <w:szCs w:val="32"/>
          <w:highlight w:val="none"/>
          <w:lang w:val="en-US" w:eastAsia="zh-CN" w:bidi="ar"/>
        </w:rPr>
        <w:t>是实现粮食生产安全、农产品保供、承载多功能都市农业、推进城乡统筹、实施乡村振兴、彰显田园风貌的重要空间。“西翼”以垛石街道和新市镇为主体，主要发展现代物流、特色商贸、农业旅游。“东翼”以曲堤街道和仁风镇为主体，主要发展生态康养、生物医药、文化旅游。</w:t>
      </w:r>
    </w:p>
    <w:p w14:paraId="6E27D0B2">
      <w:pPr>
        <w:keepNext w:val="0"/>
        <w:keepLines w:val="0"/>
        <w:pageBreakBefore w:val="0"/>
        <w:widowControl/>
        <w:suppressLineNumbers w:val="0"/>
        <w:shd w:val="clear"/>
        <w:kinsoku/>
        <w:wordWrap/>
        <w:overflowPunct w:val="0"/>
        <w:topLinePunct w:val="0"/>
        <w:bidi w:val="0"/>
        <w:spacing w:afterLines="0"/>
        <w:jc w:val="both"/>
        <w:textAlignment w:val="auto"/>
        <w:rPr>
          <w:color w:val="auto"/>
          <w:highlight w:val="none"/>
        </w:rPr>
      </w:pPr>
      <w:r>
        <w:rPr>
          <w:rFonts w:hint="eastAsia" w:ascii="仿宋_GB2312" w:hAnsi="宋体" w:eastAsia="仿宋_GB2312" w:cs="仿宋_GB2312"/>
          <w:b/>
          <w:bCs/>
          <w:color w:val="auto"/>
          <w:kern w:val="0"/>
          <w:sz w:val="32"/>
          <w:szCs w:val="32"/>
          <w:highlight w:val="none"/>
          <w:lang w:val="en-US" w:eastAsia="zh-CN" w:bidi="ar"/>
        </w:rPr>
        <w:t>“一轴”为城市复合发展轴</w:t>
      </w:r>
      <w:r>
        <w:rPr>
          <w:rFonts w:hint="eastAsia" w:hAnsi="宋体" w:cs="仿宋_GB2312"/>
          <w:b w:val="0"/>
          <w:bCs w:val="0"/>
          <w:color w:val="auto"/>
          <w:kern w:val="0"/>
          <w:sz w:val="32"/>
          <w:szCs w:val="32"/>
          <w:highlight w:val="none"/>
          <w:lang w:val="en-US" w:eastAsia="zh-CN" w:bidi="ar"/>
        </w:rPr>
        <w:t>。</w:t>
      </w:r>
      <w:r>
        <w:rPr>
          <w:rFonts w:hint="eastAsia" w:ascii="仿宋_GB2312" w:hAnsi="宋体" w:eastAsia="仿宋_GB2312" w:cs="仿宋_GB2312"/>
          <w:color w:val="auto"/>
          <w:kern w:val="0"/>
          <w:sz w:val="32"/>
          <w:szCs w:val="32"/>
          <w:highlight w:val="none"/>
          <w:lang w:val="en-US" w:eastAsia="zh-CN" w:bidi="ar"/>
        </w:rPr>
        <w:t>推动沿线布局智能制造、商贸流通、健康食品、生命科技、都市农业</w:t>
      </w:r>
      <w:r>
        <w:rPr>
          <w:rFonts w:hint="eastAsia" w:hAnsi="宋体" w:cs="仿宋_GB2312"/>
          <w:color w:val="auto"/>
          <w:kern w:val="0"/>
          <w:sz w:val="32"/>
          <w:szCs w:val="32"/>
          <w:highlight w:val="none"/>
          <w:lang w:val="en-US" w:eastAsia="zh-CN" w:bidi="ar"/>
        </w:rPr>
        <w:t>、</w:t>
      </w:r>
      <w:r>
        <w:rPr>
          <w:rFonts w:hint="eastAsia" w:ascii="仿宋_GB2312" w:hAnsi="宋体" w:eastAsia="仿宋_GB2312" w:cs="仿宋_GB2312"/>
          <w:color w:val="auto"/>
          <w:kern w:val="0"/>
          <w:sz w:val="32"/>
          <w:szCs w:val="32"/>
          <w:highlight w:val="none"/>
          <w:lang w:val="en-US" w:eastAsia="zh-CN" w:bidi="ar"/>
        </w:rPr>
        <w:t>临空经济等产业，是济南市推进新旧动能转换、实现北跨黄河崛起发展的重要轴线，是</w:t>
      </w:r>
      <w:r>
        <w:rPr>
          <w:rFonts w:hint="eastAsia" w:hAnsi="宋体" w:cs="仿宋_GB2312"/>
          <w:color w:val="auto"/>
          <w:kern w:val="0"/>
          <w:sz w:val="32"/>
          <w:szCs w:val="32"/>
          <w:highlight w:val="none"/>
          <w:lang w:val="en-US" w:eastAsia="zh-CN" w:bidi="ar"/>
        </w:rPr>
        <w:t>我</w:t>
      </w:r>
      <w:r>
        <w:rPr>
          <w:rFonts w:hint="eastAsia" w:ascii="仿宋_GB2312" w:hAnsi="宋体" w:eastAsia="仿宋_GB2312" w:cs="仿宋_GB2312"/>
          <w:color w:val="auto"/>
          <w:kern w:val="0"/>
          <w:sz w:val="32"/>
          <w:szCs w:val="32"/>
          <w:highlight w:val="none"/>
          <w:lang w:val="en-US" w:eastAsia="zh-CN" w:bidi="ar"/>
        </w:rPr>
        <w:t>区融入济南中心城区、联动</w:t>
      </w:r>
      <w:r>
        <w:rPr>
          <w:rFonts w:hint="eastAsia" w:hAnsi="宋体" w:cs="仿宋_GB2312"/>
          <w:color w:val="auto"/>
          <w:kern w:val="0"/>
          <w:sz w:val="32"/>
          <w:szCs w:val="32"/>
          <w:highlight w:val="none"/>
          <w:lang w:val="en-US" w:eastAsia="zh-CN" w:bidi="ar"/>
        </w:rPr>
        <w:t>济南新旧动能转换</w:t>
      </w:r>
      <w:r>
        <w:rPr>
          <w:rFonts w:hint="eastAsia" w:ascii="仿宋_GB2312" w:hAnsi="宋体" w:eastAsia="仿宋_GB2312" w:cs="仿宋_GB2312"/>
          <w:color w:val="auto"/>
          <w:kern w:val="0"/>
          <w:sz w:val="32"/>
          <w:szCs w:val="32"/>
          <w:highlight w:val="none"/>
          <w:lang w:val="en-US" w:eastAsia="zh-CN" w:bidi="ar"/>
        </w:rPr>
        <w:t>起步区、带动区域全面高质量发展的主要发展方向和空间依托。</w:t>
      </w:r>
    </w:p>
    <w:p w14:paraId="26BAAFFF">
      <w:pPr>
        <w:keepNext w:val="0"/>
        <w:keepLines w:val="0"/>
        <w:pageBreakBefore w:val="0"/>
        <w:widowControl/>
        <w:suppressLineNumbers w:val="0"/>
        <w:shd w:val="clear"/>
        <w:kinsoku/>
        <w:wordWrap/>
        <w:overflowPunct w:val="0"/>
        <w:topLinePunct w:val="0"/>
        <w:bidi w:val="0"/>
        <w:spacing w:afterLines="0"/>
        <w:jc w:val="both"/>
        <w:textAlignment w:val="auto"/>
        <w:rPr>
          <w:rFonts w:hint="eastAsia" w:ascii="仿宋_GB2312" w:hAnsi="宋体" w:eastAsia="仿宋_GB2312" w:cs="仿宋_GB2312"/>
          <w:color w:val="auto"/>
          <w:kern w:val="0"/>
          <w:sz w:val="32"/>
          <w:szCs w:val="32"/>
          <w:highlight w:val="none"/>
          <w:lang w:val="en-US" w:eastAsia="zh-CN" w:bidi="ar"/>
        </w:rPr>
      </w:pPr>
      <w:r>
        <w:rPr>
          <w:rFonts w:hint="eastAsia" w:ascii="仿宋_GB2312" w:hAnsi="宋体" w:eastAsia="仿宋_GB2312" w:cs="仿宋_GB2312"/>
          <w:b/>
          <w:bCs/>
          <w:color w:val="auto"/>
          <w:kern w:val="0"/>
          <w:sz w:val="32"/>
          <w:szCs w:val="32"/>
          <w:highlight w:val="none"/>
          <w:lang w:val="en-US" w:eastAsia="zh-CN" w:bidi="ar"/>
        </w:rPr>
        <w:t>“双廊”为黄河生态文化长廊和徒骇河文旅休闲长廊</w:t>
      </w:r>
      <w:r>
        <w:rPr>
          <w:rFonts w:hint="eastAsia" w:ascii="仿宋_GB2312" w:hAnsi="宋体" w:eastAsia="仿宋_GB2312" w:cs="仿宋_GB2312"/>
          <w:color w:val="auto"/>
          <w:kern w:val="0"/>
          <w:sz w:val="32"/>
          <w:szCs w:val="32"/>
          <w:highlight w:val="none"/>
          <w:lang w:val="en-US" w:eastAsia="zh-CN" w:bidi="ar"/>
        </w:rPr>
        <w:t>。黄河生态文化</w:t>
      </w:r>
      <w:r>
        <w:rPr>
          <w:rFonts w:hint="eastAsia" w:hAnsi="宋体" w:cs="仿宋_GB2312"/>
          <w:color w:val="auto"/>
          <w:kern w:val="0"/>
          <w:sz w:val="32"/>
          <w:szCs w:val="32"/>
          <w:highlight w:val="none"/>
          <w:lang w:val="en-US" w:eastAsia="zh-CN" w:bidi="ar"/>
        </w:rPr>
        <w:t>长廊</w:t>
      </w:r>
      <w:r>
        <w:rPr>
          <w:rFonts w:hint="eastAsia" w:ascii="仿宋_GB2312" w:hAnsi="宋体" w:eastAsia="仿宋_GB2312" w:cs="仿宋_GB2312"/>
          <w:color w:val="auto"/>
          <w:kern w:val="0"/>
          <w:sz w:val="32"/>
          <w:szCs w:val="32"/>
          <w:highlight w:val="none"/>
          <w:lang w:val="en-US" w:eastAsia="zh-CN" w:bidi="ar"/>
        </w:rPr>
        <w:t>，重在落实</w:t>
      </w:r>
      <w:r>
        <w:rPr>
          <w:rFonts w:hint="eastAsia" w:hAnsi="宋体" w:cs="仿宋_GB2312"/>
          <w:color w:val="auto"/>
          <w:kern w:val="0"/>
          <w:sz w:val="32"/>
          <w:szCs w:val="32"/>
          <w:highlight w:val="none"/>
          <w:lang w:val="en-US" w:eastAsia="zh-CN" w:bidi="ar"/>
        </w:rPr>
        <w:t>黄河流域生态保护和高质量发展</w:t>
      </w:r>
      <w:r>
        <w:rPr>
          <w:rFonts w:hint="eastAsia" w:ascii="仿宋_GB2312" w:hAnsi="宋体" w:eastAsia="仿宋_GB2312" w:cs="仿宋_GB2312"/>
          <w:color w:val="auto"/>
          <w:kern w:val="0"/>
          <w:sz w:val="32"/>
          <w:szCs w:val="32"/>
          <w:highlight w:val="none"/>
          <w:lang w:val="en-US" w:eastAsia="zh-CN" w:bidi="ar"/>
        </w:rPr>
        <w:t>战略任务，充分挖掘黄河水岸景观优势和沿岸文化资源优势，高标准规划建设黄河生态</w:t>
      </w:r>
      <w:r>
        <w:rPr>
          <w:rFonts w:hint="eastAsia" w:hAnsi="宋体" w:cs="仿宋_GB2312"/>
          <w:color w:val="auto"/>
          <w:kern w:val="0"/>
          <w:sz w:val="32"/>
          <w:szCs w:val="32"/>
          <w:highlight w:val="none"/>
          <w:lang w:val="en-US" w:eastAsia="zh-CN" w:bidi="ar"/>
        </w:rPr>
        <w:t>廊道</w:t>
      </w:r>
      <w:r>
        <w:rPr>
          <w:rFonts w:hint="eastAsia" w:ascii="仿宋_GB2312" w:hAnsi="宋体" w:eastAsia="仿宋_GB2312" w:cs="仿宋_GB2312"/>
          <w:color w:val="auto"/>
          <w:kern w:val="0"/>
          <w:sz w:val="32"/>
          <w:szCs w:val="32"/>
          <w:highlight w:val="none"/>
          <w:lang w:val="en-US" w:eastAsia="zh-CN" w:bidi="ar"/>
        </w:rPr>
        <w:t>，打造一批能够深度亲近黄河、认知黄河的场景，共同讲好“黄河故事”。徒骇河文旅休闲长廊，重在发挥徒骇河沿线新市乳制品、垛石西红柿、曲堤黄瓜、仁风西瓜等农业品牌特色，拓展农业观光休闲、文化传承、科技普及功能，打造现代</w:t>
      </w:r>
      <w:r>
        <w:rPr>
          <w:rFonts w:hint="eastAsia" w:hAnsi="宋体" w:cs="仿宋_GB2312"/>
          <w:color w:val="auto"/>
          <w:kern w:val="0"/>
          <w:sz w:val="32"/>
          <w:szCs w:val="32"/>
          <w:highlight w:val="none"/>
          <w:lang w:val="en-US" w:eastAsia="zh-CN" w:bidi="ar"/>
        </w:rPr>
        <w:t>都市</w:t>
      </w:r>
      <w:r>
        <w:rPr>
          <w:rFonts w:hint="eastAsia" w:ascii="仿宋_GB2312" w:hAnsi="宋体" w:eastAsia="仿宋_GB2312" w:cs="仿宋_GB2312"/>
          <w:color w:val="auto"/>
          <w:kern w:val="0"/>
          <w:sz w:val="32"/>
          <w:szCs w:val="32"/>
          <w:highlight w:val="none"/>
          <w:lang w:val="en-US" w:eastAsia="zh-CN" w:bidi="ar"/>
        </w:rPr>
        <w:t>高效农业产业带。</w:t>
      </w:r>
      <w:bookmarkEnd w:id="31"/>
      <w:bookmarkEnd w:id="48"/>
      <w:bookmarkEnd w:id="49"/>
      <w:bookmarkEnd w:id="50"/>
      <w:bookmarkEnd w:id="51"/>
      <w:bookmarkEnd w:id="52"/>
      <w:bookmarkStart w:id="54" w:name="_Toc13516"/>
      <w:bookmarkStart w:id="55" w:name="_Toc5721"/>
      <w:bookmarkStart w:id="56" w:name="_Toc6841"/>
      <w:bookmarkStart w:id="57" w:name="_Toc5986"/>
      <w:bookmarkStart w:id="58" w:name="_Toc27289"/>
      <w:bookmarkStart w:id="59" w:name="_Toc13485"/>
      <w:bookmarkStart w:id="60" w:name="_Toc16472"/>
      <w:bookmarkStart w:id="61" w:name="_Toc27327"/>
      <w:bookmarkStart w:id="62" w:name="_Toc8564"/>
      <w:bookmarkStart w:id="63" w:name="_Toc10298"/>
      <w:bookmarkStart w:id="64" w:name="_Toc21036"/>
    </w:p>
    <w:p w14:paraId="6D90EABB">
      <w:pPr>
        <w:pStyle w:val="8"/>
        <w:shd w:val="clear"/>
        <w:spacing w:line="240" w:lineRule="auto"/>
        <w:ind w:left="0" w:leftChars="0" w:firstLine="0" w:firstLineChars="0"/>
        <w:jc w:val="center"/>
        <w:rPr>
          <w:color w:val="auto"/>
          <w:highlight w:val="none"/>
        </w:rPr>
      </w:pPr>
      <w:r>
        <w:rPr>
          <w:color w:val="auto"/>
          <w:highlight w:val="none"/>
        </w:rPr>
        <w:drawing>
          <wp:inline distT="0" distB="0" distL="114300" distR="114300">
            <wp:extent cx="4467225" cy="2646680"/>
            <wp:effectExtent l="0" t="0" r="0"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rcRect t="997" r="283" b="715"/>
                    <a:stretch>
                      <a:fillRect/>
                    </a:stretch>
                  </pic:blipFill>
                  <pic:spPr>
                    <a:xfrm>
                      <a:off x="0" y="0"/>
                      <a:ext cx="4467225" cy="2646680"/>
                    </a:xfrm>
                    <a:prstGeom prst="rect">
                      <a:avLst/>
                    </a:prstGeom>
                    <a:noFill/>
                    <a:ln>
                      <a:noFill/>
                    </a:ln>
                  </pic:spPr>
                </pic:pic>
              </a:graphicData>
            </a:graphic>
          </wp:inline>
        </w:drawing>
      </w:r>
    </w:p>
    <w:p w14:paraId="3C3DF408">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0" w:firstLineChars="0"/>
        <w:jc w:val="center"/>
        <w:textAlignment w:val="auto"/>
        <w:outlineLvl w:val="2"/>
        <w:rPr>
          <w:rFonts w:hint="eastAsia" w:ascii="楷体_GB2312" w:hAnsi="楷体_GB2312" w:eastAsia="楷体_GB2312" w:cs="楷体_GB2312"/>
          <w:b w:val="0"/>
          <w:bCs w:val="0"/>
          <w:color w:val="auto"/>
          <w:spacing w:val="0"/>
          <w:kern w:val="2"/>
          <w:sz w:val="28"/>
          <w:szCs w:val="28"/>
          <w:highlight w:val="none"/>
          <w:lang w:val="en-US" w:eastAsia="zh-CN"/>
        </w:rPr>
      </w:pPr>
      <w:bookmarkStart w:id="65" w:name="_Toc25808"/>
      <w:r>
        <w:rPr>
          <w:rFonts w:hint="eastAsia" w:ascii="楷体_GB2312" w:hAnsi="楷体_GB2312" w:eastAsia="楷体_GB2312" w:cs="楷体_GB2312"/>
          <w:b w:val="0"/>
          <w:bCs w:val="0"/>
          <w:color w:val="auto"/>
          <w:spacing w:val="0"/>
          <w:kern w:val="2"/>
          <w:sz w:val="28"/>
          <w:szCs w:val="28"/>
          <w:highlight w:val="none"/>
          <w:lang w:val="en-US" w:eastAsia="zh-CN"/>
        </w:rPr>
        <w:t>图1  济阳区总体空间布局示意图</w:t>
      </w:r>
      <w:bookmarkEnd w:id="65"/>
    </w:p>
    <w:p w14:paraId="453A9AA9">
      <w:pPr>
        <w:rPr>
          <w:rFonts w:hint="eastAsia" w:ascii="楷体_GB2312" w:hAnsi="楷体_GB2312" w:eastAsia="楷体_GB2312" w:cs="楷体_GB2312"/>
          <w:b w:val="0"/>
          <w:bCs w:val="0"/>
          <w:color w:val="auto"/>
          <w:spacing w:val="0"/>
          <w:kern w:val="2"/>
          <w:sz w:val="28"/>
          <w:szCs w:val="28"/>
          <w:highlight w:val="none"/>
          <w:lang w:val="en-US" w:eastAsia="zh-CN"/>
        </w:rPr>
      </w:pPr>
      <w:r>
        <w:rPr>
          <w:rFonts w:hint="eastAsia" w:ascii="楷体_GB2312" w:hAnsi="楷体_GB2312" w:eastAsia="楷体_GB2312" w:cs="楷体_GB2312"/>
          <w:b w:val="0"/>
          <w:bCs w:val="0"/>
          <w:color w:val="auto"/>
          <w:spacing w:val="0"/>
          <w:kern w:val="2"/>
          <w:sz w:val="28"/>
          <w:szCs w:val="28"/>
          <w:highlight w:val="none"/>
          <w:lang w:val="en-US" w:eastAsia="zh-CN"/>
        </w:rPr>
        <w:br w:type="page"/>
      </w:r>
    </w:p>
    <w:p w14:paraId="078D040C">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0" w:firstLineChars="0"/>
        <w:jc w:val="center"/>
        <w:textAlignment w:val="auto"/>
        <w:outlineLvl w:val="2"/>
        <w:rPr>
          <w:rFonts w:hint="default" w:ascii="楷体_GB2312" w:hAnsi="楷体_GB2312" w:eastAsia="楷体_GB2312" w:cs="楷体_GB2312"/>
          <w:b w:val="0"/>
          <w:bCs w:val="0"/>
          <w:color w:val="auto"/>
          <w:spacing w:val="0"/>
          <w:kern w:val="2"/>
          <w:sz w:val="28"/>
          <w:szCs w:val="28"/>
          <w:highlight w:val="none"/>
          <w:lang w:val="en-US" w:eastAsia="zh-CN"/>
        </w:rPr>
      </w:pPr>
    </w:p>
    <w:p w14:paraId="71D8F39B">
      <w:pPr>
        <w:keepNext w:val="0"/>
        <w:keepLines w:val="0"/>
        <w:pageBreakBefore w:val="0"/>
        <w:widowControl/>
        <w:suppressLineNumbers w:val="0"/>
        <w:shd w:val="clear"/>
        <w:kinsoku/>
        <w:wordWrap/>
        <w:overflowPunct w:val="0"/>
        <w:topLinePunct w:val="0"/>
        <w:autoSpaceDE/>
        <w:autoSpaceDN/>
        <w:bidi w:val="0"/>
        <w:adjustRightInd w:val="0"/>
        <w:snapToGrid w:val="0"/>
        <w:spacing w:before="157" w:beforeLines="50"/>
        <w:ind w:left="0" w:leftChars="0" w:firstLine="0" w:firstLineChars="0"/>
        <w:jc w:val="center"/>
        <w:textAlignment w:val="auto"/>
        <w:outlineLvl w:val="0"/>
        <w:rPr>
          <w:rFonts w:hint="eastAsia" w:ascii="方正小标宋简体" w:hAnsi="方正小标宋简体" w:eastAsia="方正小标宋简体" w:cs="方正小标宋简体"/>
          <w:color w:val="auto"/>
          <w:spacing w:val="0"/>
          <w:kern w:val="0"/>
          <w:sz w:val="32"/>
          <w:szCs w:val="32"/>
          <w:highlight w:val="none"/>
          <w:lang w:val="en-US" w:eastAsia="zh-CN" w:bidi="ar"/>
        </w:rPr>
      </w:pPr>
      <w:bookmarkStart w:id="66" w:name="_Toc3435"/>
      <w:bookmarkStart w:id="67" w:name="_Toc3727"/>
      <w:r>
        <w:rPr>
          <w:rFonts w:hint="eastAsia" w:ascii="方正小标宋简体" w:hAnsi="方正小标宋简体" w:eastAsia="方正小标宋简体" w:cs="方正小标宋简体"/>
          <w:color w:val="auto"/>
          <w:spacing w:val="0"/>
          <w:kern w:val="0"/>
          <w:sz w:val="32"/>
          <w:szCs w:val="32"/>
          <w:highlight w:val="none"/>
          <w:lang w:val="en-US" w:eastAsia="zh-CN" w:bidi="ar"/>
        </w:rPr>
        <w:t>第二章  加快发展新质生产力，构建以先进制造业为骨干的现代化产业体系</w:t>
      </w:r>
      <w:bookmarkEnd w:id="66"/>
      <w:bookmarkEnd w:id="67"/>
    </w:p>
    <w:p w14:paraId="7184955E">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仿宋_GB2312" w:hAnsi="仿宋_GB2312" w:eastAsia="仿宋_GB2312" w:cs="仿宋_GB2312"/>
          <w:color w:val="auto"/>
          <w:szCs w:val="32"/>
          <w:highlight w:val="none"/>
          <w:lang w:val="en-US" w:eastAsia="zh-CN"/>
        </w:rPr>
      </w:pPr>
      <w:bookmarkStart w:id="68" w:name="_Toc4603"/>
      <w:bookmarkStart w:id="69" w:name="_Toc29873"/>
      <w:bookmarkStart w:id="70" w:name="_Toc17207"/>
      <w:r>
        <w:rPr>
          <w:rFonts w:hint="eastAsia" w:cs="仿宋_GB2312"/>
          <w:color w:val="auto"/>
          <w:szCs w:val="32"/>
          <w:highlight w:val="none"/>
          <w:lang w:val="en-US" w:eastAsia="zh-CN"/>
        </w:rPr>
        <w:t>坚持</w:t>
      </w:r>
      <w:r>
        <w:rPr>
          <w:rFonts w:hint="eastAsia" w:ascii="仿宋_GB2312" w:hAnsi="仿宋_GB2312" w:eastAsia="仿宋_GB2312" w:cs="仿宋_GB2312"/>
          <w:color w:val="auto"/>
          <w:szCs w:val="32"/>
          <w:highlight w:val="none"/>
          <w:lang w:val="en-US" w:eastAsia="zh-CN"/>
        </w:rPr>
        <w:t>把发展经济的着力点放在实体经济上，深入实施工业强</w:t>
      </w:r>
      <w:r>
        <w:rPr>
          <w:rFonts w:hint="eastAsia" w:cs="仿宋_GB2312"/>
          <w:color w:val="auto"/>
          <w:szCs w:val="32"/>
          <w:highlight w:val="none"/>
          <w:lang w:val="en-US" w:eastAsia="zh-CN"/>
        </w:rPr>
        <w:t>区</w:t>
      </w:r>
      <w:r>
        <w:rPr>
          <w:rFonts w:hint="eastAsia" w:ascii="仿宋_GB2312" w:hAnsi="仿宋_GB2312" w:eastAsia="仿宋_GB2312" w:cs="仿宋_GB2312"/>
          <w:color w:val="auto"/>
          <w:szCs w:val="32"/>
          <w:highlight w:val="none"/>
          <w:lang w:val="en-US" w:eastAsia="zh-CN"/>
        </w:rPr>
        <w:t>战略，</w:t>
      </w:r>
      <w:r>
        <w:rPr>
          <w:rFonts w:hint="eastAsia" w:cs="仿宋_GB2312"/>
          <w:color w:val="auto"/>
          <w:szCs w:val="32"/>
          <w:highlight w:val="none"/>
          <w:lang w:val="en-US" w:eastAsia="zh-CN"/>
        </w:rPr>
        <w:t>发挥</w:t>
      </w:r>
      <w:r>
        <w:rPr>
          <w:rFonts w:hint="eastAsia" w:ascii="仿宋_GB2312" w:hAnsi="仿宋_GB2312" w:eastAsia="仿宋_GB2312" w:cs="仿宋_GB2312"/>
          <w:color w:val="auto"/>
          <w:szCs w:val="32"/>
          <w:highlight w:val="none"/>
          <w:lang w:val="en-US" w:eastAsia="zh-CN"/>
        </w:rPr>
        <w:t>海峡两岸新旧动能转换产业合作区</w:t>
      </w:r>
      <w:r>
        <w:rPr>
          <w:rFonts w:hint="eastAsia" w:cs="仿宋_GB2312"/>
          <w:color w:val="auto"/>
          <w:szCs w:val="32"/>
          <w:highlight w:val="none"/>
          <w:lang w:val="en-US" w:eastAsia="zh-CN"/>
        </w:rPr>
        <w:t>载体作用</w:t>
      </w:r>
      <w:r>
        <w:rPr>
          <w:rFonts w:hint="eastAsia" w:ascii="仿宋_GB2312" w:hAnsi="仿宋_GB2312" w:eastAsia="仿宋_GB2312" w:cs="仿宋_GB2312"/>
          <w:color w:val="auto"/>
          <w:szCs w:val="32"/>
          <w:highlight w:val="none"/>
          <w:lang w:val="en-US" w:eastAsia="zh-CN"/>
        </w:rPr>
        <w:t>，</w:t>
      </w:r>
      <w:r>
        <w:rPr>
          <w:rFonts w:hint="eastAsia" w:cs="仿宋_GB2312"/>
          <w:color w:val="auto"/>
          <w:szCs w:val="32"/>
          <w:highlight w:val="none"/>
          <w:lang w:val="en-US" w:eastAsia="zh-CN"/>
        </w:rPr>
        <w:t>推动</w:t>
      </w:r>
      <w:r>
        <w:rPr>
          <w:rFonts w:hint="eastAsia" w:ascii="仿宋_GB2312" w:hAnsi="仿宋_GB2312" w:eastAsia="仿宋_GB2312" w:cs="仿宋_GB2312"/>
          <w:color w:val="auto"/>
          <w:szCs w:val="32"/>
          <w:highlight w:val="none"/>
          <w:lang w:val="en-US" w:eastAsia="zh-CN"/>
        </w:rPr>
        <w:t>济阳制造智能化、绿色化、融合化</w:t>
      </w:r>
      <w:r>
        <w:rPr>
          <w:rFonts w:hint="eastAsia" w:cs="仿宋_GB2312"/>
          <w:color w:val="auto"/>
          <w:szCs w:val="32"/>
          <w:highlight w:val="none"/>
          <w:lang w:val="en-US" w:eastAsia="zh-CN"/>
        </w:rPr>
        <w:t>发展</w:t>
      </w:r>
      <w:r>
        <w:rPr>
          <w:rFonts w:hint="eastAsia" w:ascii="仿宋_GB2312" w:hAnsi="仿宋_GB2312" w:eastAsia="仿宋_GB2312" w:cs="仿宋_GB2312"/>
          <w:color w:val="auto"/>
          <w:szCs w:val="32"/>
          <w:highlight w:val="none"/>
          <w:lang w:val="en-US" w:eastAsia="zh-CN"/>
        </w:rPr>
        <w:t>，</w:t>
      </w:r>
      <w:r>
        <w:rPr>
          <w:rFonts w:hint="eastAsia" w:cs="仿宋_GB2312"/>
          <w:color w:val="auto"/>
          <w:szCs w:val="32"/>
          <w:highlight w:val="none"/>
          <w:lang w:val="en-US" w:eastAsia="zh-CN"/>
        </w:rPr>
        <w:t>加快</w:t>
      </w:r>
      <w:r>
        <w:rPr>
          <w:rFonts w:hint="eastAsia" w:ascii="仿宋_GB2312" w:hAnsi="仿宋_GB2312" w:eastAsia="仿宋_GB2312" w:cs="仿宋_GB2312"/>
          <w:color w:val="auto"/>
          <w:szCs w:val="32"/>
          <w:highlight w:val="none"/>
          <w:lang w:val="en-US" w:eastAsia="zh-CN"/>
        </w:rPr>
        <w:t>壮大现代服务业规模，促进高端业态繁荣发展，全面提升</w:t>
      </w:r>
      <w:r>
        <w:rPr>
          <w:rFonts w:hint="eastAsia" w:ascii="仿宋_GB2312"/>
          <w:color w:val="auto"/>
          <w:sz w:val="32"/>
          <w:szCs w:val="32"/>
          <w:highlight w:val="none"/>
        </w:rPr>
        <w:t>经济规模、质量效益</w:t>
      </w:r>
      <w:r>
        <w:rPr>
          <w:rFonts w:hint="eastAsia"/>
          <w:color w:val="auto"/>
          <w:sz w:val="32"/>
          <w:szCs w:val="32"/>
          <w:highlight w:val="none"/>
          <w:lang w:val="en-US" w:eastAsia="zh-CN"/>
        </w:rPr>
        <w:t>和</w:t>
      </w:r>
      <w:r>
        <w:rPr>
          <w:rFonts w:hint="eastAsia" w:ascii="仿宋_GB2312" w:hAnsi="仿宋_GB2312" w:eastAsia="仿宋_GB2312" w:cs="仿宋_GB2312"/>
          <w:color w:val="auto"/>
          <w:szCs w:val="32"/>
          <w:highlight w:val="none"/>
          <w:lang w:val="en-US" w:eastAsia="zh-CN"/>
        </w:rPr>
        <w:t>核心竞争力。</w:t>
      </w:r>
    </w:p>
    <w:p w14:paraId="21D4CC9F">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outlineLvl w:val="1"/>
        <w:rPr>
          <w:rFonts w:hint="eastAsia" w:ascii="黑体" w:hAnsi="黑体" w:eastAsia="黑体" w:cs="黑体"/>
          <w:color w:val="auto"/>
          <w:highlight w:val="none"/>
          <w:lang w:val="en-US" w:eastAsia="zh-CN"/>
        </w:rPr>
      </w:pPr>
      <w:bookmarkStart w:id="71" w:name="_Toc22706"/>
      <w:bookmarkStart w:id="72" w:name="_Toc26058"/>
      <w:bookmarkStart w:id="73" w:name="_Toc3252"/>
      <w:bookmarkStart w:id="74" w:name="_Toc25210"/>
      <w:bookmarkStart w:id="75" w:name="_Toc14695"/>
      <w:r>
        <w:rPr>
          <w:rFonts w:hint="eastAsia" w:ascii="黑体" w:hAnsi="黑体" w:eastAsia="黑体" w:cs="黑体"/>
          <w:color w:val="auto"/>
          <w:highlight w:val="none"/>
          <w:lang w:val="en-US" w:eastAsia="zh-CN"/>
        </w:rPr>
        <w:t>一、举全区之力建设海峡两岸新旧动能转换产业合作区</w:t>
      </w:r>
      <w:bookmarkEnd w:id="68"/>
      <w:bookmarkEnd w:id="69"/>
      <w:bookmarkEnd w:id="70"/>
      <w:bookmarkEnd w:id="71"/>
      <w:bookmarkEnd w:id="72"/>
      <w:bookmarkEnd w:id="73"/>
      <w:bookmarkEnd w:id="74"/>
      <w:bookmarkEnd w:id="75"/>
    </w:p>
    <w:p w14:paraId="5393F67B">
      <w:pPr>
        <w:keepNext w:val="0"/>
        <w:keepLines w:val="0"/>
        <w:pageBreakBefore w:val="0"/>
        <w:widowControl w:val="0"/>
        <w:shd w:val="clear"/>
        <w:kinsoku/>
        <w:wordWrap/>
        <w:overflowPunct w:val="0"/>
        <w:topLinePunct w:val="0"/>
        <w:autoSpaceDE/>
        <w:autoSpaceDN/>
        <w:bidi w:val="0"/>
        <w:adjustRightInd w:val="0"/>
        <w:snapToGrid w:val="0"/>
        <w:spacing w:line="592" w:lineRule="exact"/>
        <w:ind w:firstLine="640"/>
        <w:jc w:val="both"/>
        <w:textAlignment w:val="auto"/>
        <w:rPr>
          <w:rFonts w:hint="eastAsia" w:ascii="楷体_GB2312" w:hAnsi="楷体_GB2312" w:eastAsia="楷体_GB2312" w:cs="楷体_GB2312"/>
          <w:color w:val="auto"/>
          <w:sz w:val="32"/>
          <w:szCs w:val="32"/>
          <w:highlight w:val="none"/>
          <w:lang w:val="en-US" w:eastAsia="zh-CN"/>
        </w:rPr>
      </w:pPr>
      <w:r>
        <w:rPr>
          <w:rFonts w:hint="eastAsia"/>
          <w:color w:val="auto"/>
          <w:sz w:val="32"/>
          <w:szCs w:val="32"/>
          <w:highlight w:val="none"/>
          <w:u w:val="none"/>
          <w:lang w:val="en-US" w:eastAsia="zh-CN"/>
        </w:rPr>
        <w:t>坚持高标准规划建设，深化对台经贸合作，着力优化功能分区、加速产业集聚、夯实要素支撑，打造具有山东特色、全国一流的海峡两岸新旧动能转换产业合作区。</w:t>
      </w:r>
    </w:p>
    <w:p w14:paraId="53A2F5E1">
      <w:pPr>
        <w:keepNext w:val="0"/>
        <w:keepLines w:val="0"/>
        <w:pageBreakBefore w:val="0"/>
        <w:widowControl w:val="0"/>
        <w:shd w:val="clear"/>
        <w:kinsoku/>
        <w:wordWrap/>
        <w:overflowPunct w:val="0"/>
        <w:topLinePunct w:val="0"/>
        <w:autoSpaceDE/>
        <w:autoSpaceDN/>
        <w:bidi w:val="0"/>
        <w:adjustRightInd w:val="0"/>
        <w:snapToGrid w:val="0"/>
        <w:spacing w:line="592" w:lineRule="exact"/>
        <w:ind w:firstLine="640"/>
        <w:jc w:val="both"/>
        <w:textAlignment w:val="auto"/>
        <w:rPr>
          <w:rFonts w:hint="eastAsia"/>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（一）优化空间功能布局。</w:t>
      </w:r>
      <w:r>
        <w:rPr>
          <w:rFonts w:hint="eastAsia"/>
          <w:color w:val="auto"/>
          <w:sz w:val="32"/>
          <w:szCs w:val="32"/>
          <w:highlight w:val="none"/>
          <w:lang w:val="en-US" w:eastAsia="zh-CN"/>
        </w:rPr>
        <w:t>坚持统筹规划与区域联动，构建以先进制造产业园、食品医药健康产业园、对台交流综合服务中心为支撑的“两园一中心”产业发展格局。聚焦食品饮料、装备制造等主导产业，科学划定功能分区，预留延链扩容空间，推动产业集聚发展。提质升级对台交流综合服务中心，完善政务、商务、生活等综合功能，打造服务两岸交流的高能级平台。积极创新合作模式，通过共建“区中园”“园中园”等培育“飞地经济”载体。深化与济南新旧动能转换起步区、自贸试验区济南片区联动，推进产业链共建与资源共享，共同布局新质生产力创新载体，构建“两岸产业融合、产城景协同”的空间发展新格局。</w:t>
      </w:r>
    </w:p>
    <w:p w14:paraId="08D7A42B">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rPr>
          <w:rFonts w:hint="eastAsia"/>
          <w:b w:val="0"/>
          <w:bCs w:val="0"/>
          <w:color w:val="auto"/>
          <w:spacing w:val="0"/>
          <w:kern w:val="2"/>
          <w:szCs w:val="32"/>
          <w:highlight w:val="none"/>
          <w:lang w:eastAsia="zh-CN"/>
        </w:rPr>
      </w:pPr>
      <w:r>
        <w:rPr>
          <w:rFonts w:hint="eastAsia" w:ascii="楷体_GB2312" w:hAnsi="楷体_GB2312" w:eastAsia="楷体_GB2312" w:cs="楷体_GB2312"/>
          <w:color w:val="auto"/>
          <w:sz w:val="32"/>
          <w:szCs w:val="32"/>
          <w:highlight w:val="none"/>
          <w:lang w:val="en-US" w:eastAsia="zh-CN"/>
        </w:rPr>
        <w:t>（二）强化高端产业导入。</w:t>
      </w:r>
      <w:r>
        <w:rPr>
          <w:rFonts w:hint="eastAsia"/>
          <w:b w:val="0"/>
          <w:bCs w:val="0"/>
          <w:color w:val="auto"/>
          <w:spacing w:val="0"/>
          <w:kern w:val="2"/>
          <w:szCs w:val="32"/>
          <w:highlight w:val="none"/>
          <w:lang w:eastAsia="zh-CN"/>
        </w:rPr>
        <w:t>坚持高端化、规模化发展路径，积极推动一二三产深度融合，重点引进台湾</w:t>
      </w:r>
      <w:r>
        <w:rPr>
          <w:rFonts w:hint="eastAsia"/>
          <w:b w:val="0"/>
          <w:bCs w:val="0"/>
          <w:color w:val="auto"/>
          <w:spacing w:val="0"/>
          <w:kern w:val="2"/>
          <w:szCs w:val="32"/>
          <w:highlight w:val="none"/>
          <w:lang w:val="en-US" w:eastAsia="zh-CN"/>
        </w:rPr>
        <w:t>地区</w:t>
      </w:r>
      <w:r>
        <w:rPr>
          <w:rFonts w:hint="eastAsia"/>
          <w:b w:val="0"/>
          <w:bCs w:val="0"/>
          <w:color w:val="auto"/>
          <w:spacing w:val="0"/>
          <w:kern w:val="2"/>
          <w:szCs w:val="32"/>
          <w:highlight w:val="none"/>
          <w:lang w:eastAsia="zh-CN"/>
        </w:rPr>
        <w:t>先进农业技术与经营管理模式，发展高附加值农产品种植与精深加工。加强高端装备制造、食品医药等领域合作，建设数控机床、工业机器人、功能性食品、生物医药等先进制造业基地。依托中国（济南）特殊食品城、液压升降平台产业基地等重点载体，深耕特殊食品、智能装备等细分领域，强化对台资及关联企业的精准招引。支持</w:t>
      </w:r>
      <w:r>
        <w:rPr>
          <w:rFonts w:hint="eastAsia"/>
          <w:b w:val="0"/>
          <w:bCs w:val="0"/>
          <w:color w:val="auto"/>
          <w:spacing w:val="0"/>
          <w:kern w:val="2"/>
          <w:szCs w:val="32"/>
          <w:highlight w:val="none"/>
          <w:lang w:val="en-US" w:eastAsia="zh-CN"/>
        </w:rPr>
        <w:t>台资及关联</w:t>
      </w:r>
      <w:r>
        <w:rPr>
          <w:rFonts w:hint="eastAsia"/>
          <w:b w:val="0"/>
          <w:bCs w:val="0"/>
          <w:color w:val="auto"/>
          <w:spacing w:val="0"/>
          <w:kern w:val="2"/>
          <w:szCs w:val="32"/>
          <w:highlight w:val="none"/>
          <w:lang w:eastAsia="zh-CN"/>
        </w:rPr>
        <w:t>企业加大科研投入、建设智能工厂，深化两岸科技创新合作，共建研发孵化平台，培育人工智能、生物科技、新材料等新兴产业，加速形成新质生产力集群。深入实施“人工智能＋”行动，推动全要素智能化升级，打造集生产加工、高端制造与科创研发于一体的两岸产业合作区。</w:t>
      </w:r>
    </w:p>
    <w:p w14:paraId="3F7F0DB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rPr>
          <w:rFonts w:hint="eastAsia"/>
          <w:b w:val="0"/>
          <w:bCs w:val="0"/>
          <w:color w:val="auto"/>
          <w:spacing w:val="0"/>
          <w:kern w:val="2"/>
          <w:szCs w:val="32"/>
          <w:highlight w:val="none"/>
          <w:lang w:eastAsia="zh-CN"/>
        </w:rPr>
      </w:pPr>
      <w:r>
        <w:rPr>
          <w:rFonts w:hint="eastAsia" w:ascii="楷体_GB2312" w:hAnsi="楷体_GB2312" w:eastAsia="楷体_GB2312" w:cs="楷体_GB2312"/>
          <w:color w:val="auto"/>
          <w:sz w:val="32"/>
          <w:szCs w:val="32"/>
          <w:highlight w:val="none"/>
          <w:lang w:val="en-US" w:eastAsia="zh-CN"/>
        </w:rPr>
        <w:t>（三）</w:t>
      </w:r>
      <w:r>
        <w:rPr>
          <w:rFonts w:hint="default" w:ascii="楷体_GB2312" w:hAnsi="楷体_GB2312" w:eastAsia="楷体_GB2312" w:cs="楷体_GB2312"/>
          <w:color w:val="auto"/>
          <w:sz w:val="32"/>
          <w:szCs w:val="32"/>
          <w:highlight w:val="none"/>
          <w:lang w:val="en-US" w:eastAsia="zh-CN"/>
        </w:rPr>
        <w:t>完善资源要素保障</w:t>
      </w:r>
      <w:r>
        <w:rPr>
          <w:rFonts w:hint="eastAsia" w:ascii="楷体_GB2312" w:hAnsi="楷体_GB2312" w:eastAsia="楷体_GB2312" w:cs="楷体_GB2312"/>
          <w:color w:val="auto"/>
          <w:sz w:val="32"/>
          <w:szCs w:val="32"/>
          <w:highlight w:val="none"/>
          <w:lang w:val="en-US" w:eastAsia="zh-CN"/>
        </w:rPr>
        <w:t>。</w:t>
      </w:r>
      <w:r>
        <w:rPr>
          <w:rFonts w:hint="eastAsia"/>
          <w:b w:val="0"/>
          <w:bCs w:val="0"/>
          <w:color w:val="auto"/>
          <w:spacing w:val="0"/>
          <w:kern w:val="2"/>
          <w:szCs w:val="32"/>
          <w:highlight w:val="none"/>
          <w:lang w:eastAsia="zh-CN"/>
        </w:rPr>
        <w:t>深化国家、省、市、区四级联动，建立健全跨区域要素协调机制，保障重大台资项目及主导产业在土地、资金、人才等方面的关键需求。深化</w:t>
      </w:r>
      <w:r>
        <w:rPr>
          <w:rFonts w:hint="eastAsia" w:cs="仿宋_GB2312"/>
          <w:b w:val="0"/>
          <w:bCs w:val="0"/>
          <w:color w:val="auto"/>
          <w:szCs w:val="32"/>
          <w:highlight w:val="none"/>
          <w:lang w:val="en-US" w:eastAsia="zh-CN"/>
        </w:rPr>
        <w:t>山东</w:t>
      </w:r>
      <w:r>
        <w:rPr>
          <w:rFonts w:hint="eastAsia" w:ascii="仿宋_GB2312" w:hAnsi="仿宋_GB2312" w:eastAsia="仿宋_GB2312" w:cs="仿宋_GB2312"/>
          <w:b w:val="0"/>
          <w:bCs w:val="0"/>
          <w:color w:val="auto"/>
          <w:szCs w:val="32"/>
          <w:highlight w:val="none"/>
          <w:lang w:eastAsia="zh-CN"/>
        </w:rPr>
        <w:t>济北经济开发区</w:t>
      </w:r>
      <w:r>
        <w:rPr>
          <w:rFonts w:hint="eastAsia"/>
          <w:b w:val="0"/>
          <w:bCs w:val="0"/>
          <w:color w:val="auto"/>
          <w:spacing w:val="0"/>
          <w:kern w:val="2"/>
          <w:szCs w:val="32"/>
          <w:highlight w:val="none"/>
          <w:lang w:eastAsia="zh-CN"/>
        </w:rPr>
        <w:t>体制机制改革，优化管理机构职能，推进市场化运营模式创新，充分释放发展活力，全力争创国家级开发区。依托合作区现有土地、标准厂房及企业资源，与</w:t>
      </w:r>
      <w:r>
        <w:rPr>
          <w:rFonts w:hint="eastAsia"/>
          <w:b w:val="0"/>
          <w:bCs w:val="0"/>
          <w:color w:val="auto"/>
          <w:spacing w:val="0"/>
          <w:kern w:val="2"/>
          <w:szCs w:val="32"/>
          <w:highlight w:val="none"/>
          <w:lang w:val="en-US" w:eastAsia="zh-CN"/>
        </w:rPr>
        <w:t>山东</w:t>
      </w:r>
      <w:r>
        <w:rPr>
          <w:rFonts w:hint="eastAsia"/>
          <w:b w:val="0"/>
          <w:bCs w:val="0"/>
          <w:color w:val="auto"/>
          <w:spacing w:val="0"/>
          <w:kern w:val="2"/>
          <w:szCs w:val="32"/>
          <w:highlight w:val="none"/>
          <w:lang w:eastAsia="zh-CN"/>
        </w:rPr>
        <w:t>省科学院、齐鲁工业大学共建科技成果转化平台，推动产学研深度融合。推动要素资源向“两园一中心”等核心平台集聚，精准承接优质台资产业转移，促进产业链供应链深度对接。深化与济南新旧动能转换起步区、自贸试验区济南片区联动，探索市场化配置新路径。瞄准台湾</w:t>
      </w:r>
      <w:r>
        <w:rPr>
          <w:rFonts w:hint="eastAsia"/>
          <w:b w:val="0"/>
          <w:bCs w:val="0"/>
          <w:color w:val="auto"/>
          <w:spacing w:val="0"/>
          <w:kern w:val="2"/>
          <w:szCs w:val="32"/>
          <w:highlight w:val="none"/>
          <w:lang w:val="en-US" w:eastAsia="zh-CN"/>
        </w:rPr>
        <w:t>地区</w:t>
      </w:r>
      <w:r>
        <w:rPr>
          <w:rFonts w:hint="eastAsia"/>
          <w:b w:val="0"/>
          <w:bCs w:val="0"/>
          <w:color w:val="auto"/>
          <w:spacing w:val="0"/>
          <w:kern w:val="2"/>
          <w:szCs w:val="32"/>
          <w:highlight w:val="none"/>
          <w:lang w:eastAsia="zh-CN"/>
        </w:rPr>
        <w:t>电子信息、生物医药、精密制造、新型食品、绿色农业等高端产业，</w:t>
      </w:r>
      <w:r>
        <w:rPr>
          <w:rFonts w:hint="eastAsia"/>
          <w:b w:val="0"/>
          <w:bCs w:val="0"/>
          <w:color w:val="auto"/>
          <w:spacing w:val="0"/>
          <w:kern w:val="2"/>
          <w:szCs w:val="32"/>
          <w:highlight w:val="none"/>
          <w:lang w:val="en-US" w:eastAsia="zh-CN"/>
        </w:rPr>
        <w:t>用好高端</w:t>
      </w:r>
      <w:r>
        <w:rPr>
          <w:rFonts w:hint="eastAsia"/>
          <w:b w:val="0"/>
          <w:bCs w:val="0"/>
          <w:color w:val="auto"/>
          <w:spacing w:val="0"/>
          <w:kern w:val="2"/>
          <w:szCs w:val="32"/>
          <w:highlight w:val="none"/>
          <w:lang w:eastAsia="zh-CN"/>
        </w:rPr>
        <w:t>产业引导基金，创新“以台引台”“链主招商”模式，吸引一批科技型台资企业</w:t>
      </w:r>
      <w:r>
        <w:rPr>
          <w:rFonts w:hint="eastAsia"/>
          <w:b w:val="0"/>
          <w:bCs w:val="0"/>
          <w:color w:val="auto"/>
          <w:spacing w:val="0"/>
          <w:kern w:val="2"/>
          <w:szCs w:val="32"/>
          <w:highlight w:val="none"/>
          <w:lang w:val="en-US" w:eastAsia="zh-CN"/>
        </w:rPr>
        <w:t>落地</w:t>
      </w:r>
      <w:r>
        <w:rPr>
          <w:rFonts w:hint="eastAsia"/>
          <w:b w:val="0"/>
          <w:bCs w:val="0"/>
          <w:color w:val="auto"/>
          <w:spacing w:val="0"/>
          <w:kern w:val="2"/>
          <w:szCs w:val="32"/>
          <w:highlight w:val="none"/>
          <w:lang w:eastAsia="zh-CN"/>
        </w:rPr>
        <w:t>。依托</w:t>
      </w:r>
      <w:r>
        <w:rPr>
          <w:rFonts w:hint="eastAsia"/>
          <w:b w:val="0"/>
          <w:bCs w:val="0"/>
          <w:color w:val="auto"/>
          <w:spacing w:val="0"/>
          <w:kern w:val="2"/>
          <w:szCs w:val="32"/>
          <w:highlight w:val="none"/>
          <w:lang w:val="en-US" w:eastAsia="zh-CN"/>
        </w:rPr>
        <w:t>山东艺术设计职业学院等建设高技能人才培训基地、实验实训基地</w:t>
      </w:r>
      <w:r>
        <w:rPr>
          <w:rFonts w:hint="eastAsia"/>
          <w:b w:val="0"/>
          <w:bCs w:val="0"/>
          <w:color w:val="auto"/>
          <w:spacing w:val="0"/>
          <w:kern w:val="2"/>
          <w:szCs w:val="32"/>
          <w:highlight w:val="none"/>
          <w:lang w:eastAsia="zh-CN"/>
        </w:rPr>
        <w:t>，深化产教融合，加强新质生产力相关领域人才培养与引进，为合作区高质量发展提供坚实的人才与创新支撑。</w:t>
      </w:r>
    </w:p>
    <w:p w14:paraId="2A3E24D1">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0" w:firstLineChars="0"/>
        <w:jc w:val="center"/>
        <w:textAlignment w:val="auto"/>
        <w:outlineLvl w:val="2"/>
        <w:rPr>
          <w:rFonts w:hint="eastAsia"/>
          <w:b w:val="0"/>
          <w:bCs w:val="0"/>
          <w:color w:val="auto"/>
          <w:spacing w:val="0"/>
          <w:kern w:val="2"/>
          <w:szCs w:val="32"/>
          <w:highlight w:val="none"/>
          <w:lang w:eastAsia="zh-CN"/>
        </w:rPr>
      </w:pPr>
      <w:bookmarkStart w:id="76" w:name="_Toc26407"/>
      <w:r>
        <w:rPr>
          <w:rFonts w:hint="eastAsia" w:ascii="楷体_GB2312" w:hAnsi="楷体_GB2312" w:eastAsia="楷体_GB2312" w:cs="楷体_GB2312"/>
          <w:b w:val="0"/>
          <w:bCs w:val="0"/>
          <w:color w:val="auto"/>
          <w:spacing w:val="0"/>
          <w:kern w:val="2"/>
          <w:sz w:val="28"/>
          <w:szCs w:val="28"/>
          <w:highlight w:val="none"/>
          <w:lang w:val="en-US" w:eastAsia="zh-CN"/>
        </w:rPr>
        <w:t>专栏1  海峡两岸产业合作区重点项目</w:t>
      </w:r>
      <w:bookmarkEnd w:id="76"/>
    </w:p>
    <w:tbl>
      <w:tblPr>
        <w:tblStyle w:val="19"/>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6EAFE2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1" w:type="dxa"/>
          </w:tcPr>
          <w:p w14:paraId="4823EDF0">
            <w:pPr>
              <w:keepNext w:val="0"/>
              <w:keepLines w:val="0"/>
              <w:pageBreakBefore w:val="0"/>
              <w:widowControl w:val="0"/>
              <w:shd w:val="clear"/>
              <w:kinsoku/>
              <w:wordWrap/>
              <w:overflowPunct w:val="0"/>
              <w:topLinePunct w:val="0"/>
              <w:autoSpaceDE/>
              <w:autoSpaceDN/>
              <w:bidi w:val="0"/>
              <w:adjustRightInd w:val="0"/>
              <w:snapToGrid w:val="0"/>
              <w:spacing w:line="480" w:lineRule="exact"/>
              <w:ind w:firstLine="562" w:firstLineChars="200"/>
              <w:jc w:val="both"/>
              <w:textAlignment w:val="auto"/>
              <w:outlineLvl w:val="9"/>
              <w:rPr>
                <w:rFonts w:hint="eastAsia" w:ascii="楷体_GB2312" w:hAnsi="楷体_GB2312" w:eastAsia="楷体_GB2312" w:cs="楷体_GB2312"/>
                <w:color w:val="auto"/>
                <w:sz w:val="28"/>
                <w:szCs w:val="28"/>
                <w:highlight w:val="none"/>
                <w:lang w:val="en-US" w:eastAsia="zh-CN"/>
              </w:rPr>
            </w:pPr>
            <w:r>
              <w:rPr>
                <w:rFonts w:hint="eastAsia" w:ascii="楷体_GB2312" w:hAnsi="楷体_GB2312" w:eastAsia="楷体_GB2312" w:cs="楷体_GB2312"/>
                <w:b/>
                <w:bCs/>
                <w:color w:val="auto"/>
                <w:sz w:val="28"/>
                <w:szCs w:val="28"/>
                <w:highlight w:val="none"/>
                <w:lang w:val="en-US" w:eastAsia="zh-CN"/>
              </w:rPr>
              <w:t>1.现代农业示范项目</w:t>
            </w:r>
            <w:r>
              <w:rPr>
                <w:rFonts w:hint="eastAsia" w:ascii="楷体_GB2312" w:hAnsi="楷体_GB2312" w:eastAsia="楷体_GB2312" w:cs="楷体_GB2312"/>
                <w:color w:val="auto"/>
                <w:sz w:val="28"/>
                <w:szCs w:val="28"/>
                <w:highlight w:val="none"/>
                <w:lang w:val="en-US" w:eastAsia="zh-CN"/>
              </w:rPr>
              <w:t>：引进台湾地区现代农业技术与管理经验，发展高附加值农产品种植、精深加工及休闲观光农业，推动一二三产融合发展。</w:t>
            </w:r>
          </w:p>
          <w:p w14:paraId="51E9686A">
            <w:pPr>
              <w:keepNext w:val="0"/>
              <w:keepLines w:val="0"/>
              <w:pageBreakBefore w:val="0"/>
              <w:widowControl w:val="0"/>
              <w:shd w:val="clear"/>
              <w:kinsoku/>
              <w:wordWrap/>
              <w:overflowPunct w:val="0"/>
              <w:topLinePunct w:val="0"/>
              <w:autoSpaceDE/>
              <w:autoSpaceDN/>
              <w:bidi w:val="0"/>
              <w:adjustRightInd w:val="0"/>
              <w:snapToGrid w:val="0"/>
              <w:spacing w:line="480" w:lineRule="exact"/>
              <w:ind w:firstLine="562" w:firstLineChars="200"/>
              <w:jc w:val="both"/>
              <w:textAlignment w:val="auto"/>
              <w:outlineLvl w:val="9"/>
              <w:rPr>
                <w:rFonts w:hint="eastAsia" w:ascii="楷体_GB2312" w:hAnsi="楷体_GB2312" w:eastAsia="楷体_GB2312" w:cs="楷体_GB2312"/>
                <w:color w:val="auto"/>
                <w:sz w:val="28"/>
                <w:szCs w:val="28"/>
                <w:highlight w:val="none"/>
                <w:lang w:val="en-US" w:eastAsia="zh-CN"/>
              </w:rPr>
            </w:pPr>
            <w:r>
              <w:rPr>
                <w:rFonts w:hint="eastAsia" w:ascii="楷体_GB2312" w:hAnsi="楷体_GB2312" w:eastAsia="楷体_GB2312" w:cs="楷体_GB2312"/>
                <w:b/>
                <w:bCs/>
                <w:color w:val="auto"/>
                <w:sz w:val="28"/>
                <w:szCs w:val="28"/>
                <w:highlight w:val="none"/>
                <w:lang w:val="en-US" w:eastAsia="zh-CN"/>
              </w:rPr>
              <w:t>2.先进制造业项目</w:t>
            </w:r>
            <w:r>
              <w:rPr>
                <w:rFonts w:hint="eastAsia" w:ascii="楷体_GB2312" w:hAnsi="楷体_GB2312" w:eastAsia="楷体_GB2312" w:cs="楷体_GB2312"/>
                <w:color w:val="auto"/>
                <w:sz w:val="28"/>
                <w:szCs w:val="28"/>
                <w:highlight w:val="none"/>
                <w:lang w:val="en-US" w:eastAsia="zh-CN"/>
              </w:rPr>
              <w:t>：（1）高端装备制造项目，引进台湾地区高端装备制造企业，建设高端数控机床、工业机器人、智能物流装备、芯片制造等生产基地。（2）食品饮料产业升级项目，引进台湾地区先进食品饮料生产技术及设备，推动现有企业升级改造，新建功能性食品、特色饮料、休闲食品等高端生产线。（3）生物医药创新研发及产业化项目，吸引台湾地区生物医药企业设立研发中心与生产基地，开展创新药物研发和高端医疗器械制造。</w:t>
            </w:r>
          </w:p>
          <w:p w14:paraId="15FA94E5">
            <w:pPr>
              <w:keepNext w:val="0"/>
              <w:keepLines w:val="0"/>
              <w:pageBreakBefore w:val="0"/>
              <w:widowControl w:val="0"/>
              <w:shd w:val="clear"/>
              <w:kinsoku/>
              <w:wordWrap/>
              <w:overflowPunct w:val="0"/>
              <w:topLinePunct w:val="0"/>
              <w:autoSpaceDE/>
              <w:autoSpaceDN/>
              <w:bidi w:val="0"/>
              <w:adjustRightInd w:val="0"/>
              <w:snapToGrid w:val="0"/>
              <w:spacing w:line="480" w:lineRule="exact"/>
              <w:ind w:firstLine="562" w:firstLineChars="200"/>
              <w:jc w:val="both"/>
              <w:textAlignment w:val="auto"/>
              <w:outlineLvl w:val="9"/>
              <w:rPr>
                <w:rFonts w:hint="eastAsia" w:ascii="楷体_GB2312" w:hAnsi="楷体_GB2312" w:eastAsia="楷体_GB2312" w:cs="楷体_GB2312"/>
                <w:b/>
                <w:bCs/>
                <w:color w:val="auto"/>
                <w:spacing w:val="0"/>
                <w:kern w:val="2"/>
                <w:sz w:val="28"/>
                <w:szCs w:val="28"/>
                <w:highlight w:val="none"/>
                <w:vertAlign w:val="baseline"/>
                <w:lang w:val="en-US" w:eastAsia="zh-CN"/>
              </w:rPr>
            </w:pPr>
            <w:r>
              <w:rPr>
                <w:rFonts w:hint="eastAsia" w:ascii="楷体_GB2312" w:hAnsi="楷体_GB2312" w:eastAsia="楷体_GB2312" w:cs="楷体_GB2312"/>
                <w:b/>
                <w:bCs/>
                <w:color w:val="auto"/>
                <w:sz w:val="28"/>
                <w:szCs w:val="28"/>
                <w:highlight w:val="none"/>
                <w:lang w:val="en-US" w:eastAsia="zh-CN"/>
              </w:rPr>
              <w:t>3.现代服务业项目</w:t>
            </w:r>
            <w:r>
              <w:rPr>
                <w:rFonts w:hint="eastAsia" w:ascii="楷体_GB2312" w:hAnsi="楷体_GB2312" w:eastAsia="楷体_GB2312" w:cs="楷体_GB2312"/>
                <w:color w:val="auto"/>
                <w:sz w:val="28"/>
                <w:szCs w:val="28"/>
                <w:highlight w:val="none"/>
                <w:lang w:val="en-US" w:eastAsia="zh-CN"/>
              </w:rPr>
              <w:t>：（1）两岸科技创新产业园项目，联合台湾地区高校与科研机构，建设集研发、孵化、加速、产业化于一体的科技创新产业园。（2）台湾特色生活服务街区项目，统筹推进城市更新、产业升级，打造兼具台湾风情与本土优势的居住环境。</w:t>
            </w:r>
          </w:p>
        </w:tc>
      </w:tr>
    </w:tbl>
    <w:p w14:paraId="73314E62">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77" w:name="_Toc28389"/>
      <w:bookmarkStart w:id="78" w:name="_Toc10124"/>
      <w:bookmarkStart w:id="79" w:name="_Toc153"/>
      <w:bookmarkStart w:id="80" w:name="_Toc8061"/>
      <w:bookmarkStart w:id="81" w:name="_Toc3040"/>
      <w:bookmarkStart w:id="82" w:name="_Toc5463"/>
      <w:bookmarkStart w:id="83" w:name="_Toc713"/>
      <w:bookmarkStart w:id="84" w:name="_Toc19073"/>
      <w:r>
        <w:rPr>
          <w:rFonts w:hint="eastAsia" w:ascii="黑体" w:hAnsi="黑体" w:eastAsia="黑体" w:cs="黑体"/>
          <w:color w:val="auto"/>
          <w:highlight w:val="none"/>
          <w:lang w:val="en-US" w:eastAsia="zh-CN"/>
        </w:rPr>
        <w:t>二、突出发展先进制造业</w:t>
      </w:r>
      <w:bookmarkEnd w:id="77"/>
      <w:bookmarkEnd w:id="78"/>
      <w:bookmarkEnd w:id="79"/>
      <w:bookmarkEnd w:id="80"/>
      <w:bookmarkEnd w:id="81"/>
      <w:bookmarkEnd w:id="82"/>
      <w:bookmarkEnd w:id="83"/>
      <w:bookmarkEnd w:id="84"/>
    </w:p>
    <w:p w14:paraId="62B98AB1">
      <w:pPr>
        <w:keepNext w:val="0"/>
        <w:keepLines w:val="0"/>
        <w:pageBreakBefore w:val="0"/>
        <w:widowControl w:val="0"/>
        <w:shd w:val="clear"/>
        <w:kinsoku/>
        <w:wordWrap/>
        <w:overflowPunct w:val="0"/>
        <w:topLinePunct w:val="0"/>
        <w:autoSpaceDE/>
        <w:autoSpaceDN/>
        <w:bidi w:val="0"/>
        <w:spacing w:line="600" w:lineRule="exact"/>
        <w:jc w:val="both"/>
        <w:textAlignment w:val="auto"/>
        <w:outlineLvl w:val="9"/>
        <w:rPr>
          <w:rFonts w:hint="eastAsia" w:ascii="仿宋_GB2312" w:hAnsi="仿宋_GB2312" w:eastAsia="仿宋_GB2312" w:cs="仿宋_GB2312"/>
          <w:color w:val="auto"/>
          <w:highlight w:val="none"/>
          <w:lang w:eastAsia="zh-CN"/>
        </w:rPr>
      </w:pPr>
      <w:r>
        <w:rPr>
          <w:rFonts w:hint="eastAsia" w:ascii="仿宋_GB2312" w:hAnsi="仿宋_GB2312" w:cs="仿宋_GB2312"/>
          <w:b w:val="0"/>
          <w:bCs w:val="0"/>
          <w:color w:val="auto"/>
          <w:szCs w:val="32"/>
          <w:highlight w:val="none"/>
          <w:lang w:val="en-US" w:eastAsia="zh-CN"/>
        </w:rPr>
        <w:t>紧盯产业发展</w:t>
      </w:r>
      <w:r>
        <w:rPr>
          <w:rFonts w:hint="eastAsia" w:cs="仿宋_GB2312"/>
          <w:b w:val="0"/>
          <w:bCs w:val="0"/>
          <w:color w:val="auto"/>
          <w:szCs w:val="32"/>
          <w:highlight w:val="none"/>
          <w:lang w:val="en-US" w:eastAsia="zh-CN"/>
        </w:rPr>
        <w:t>趋势</w:t>
      </w:r>
      <w:r>
        <w:rPr>
          <w:rFonts w:hint="eastAsia" w:ascii="仿宋_GB2312" w:hAnsi="仿宋_GB2312" w:cs="仿宋_GB2312"/>
          <w:b w:val="0"/>
          <w:bCs w:val="0"/>
          <w:color w:val="auto"/>
          <w:szCs w:val="32"/>
          <w:highlight w:val="none"/>
          <w:lang w:val="en-US" w:eastAsia="zh-CN"/>
        </w:rPr>
        <w:t>，</w:t>
      </w:r>
      <w:r>
        <w:rPr>
          <w:rFonts w:hint="eastAsia" w:cs="仿宋_GB2312"/>
          <w:color w:val="auto"/>
          <w:szCs w:val="32"/>
          <w:highlight w:val="none"/>
          <w:lang w:val="en-US" w:eastAsia="zh-CN"/>
        </w:rPr>
        <w:t>聚焦</w:t>
      </w:r>
      <w:r>
        <w:rPr>
          <w:rFonts w:hint="eastAsia" w:ascii="仿宋_GB2312" w:hAnsi="仿宋_GB2312" w:eastAsia="仿宋_GB2312" w:cs="仿宋_GB2312"/>
          <w:color w:val="auto"/>
          <w:szCs w:val="32"/>
          <w:highlight w:val="none"/>
          <w:lang w:val="en-US" w:eastAsia="zh-CN"/>
        </w:rPr>
        <w:t>“3</w:t>
      </w:r>
      <w:r>
        <w:rPr>
          <w:rFonts w:hint="eastAsia" w:cs="仿宋_GB2312"/>
          <w:color w:val="auto"/>
          <w:szCs w:val="32"/>
          <w:highlight w:val="none"/>
          <w:lang w:val="en-US" w:eastAsia="zh-CN"/>
        </w:rPr>
        <w:t>＋</w:t>
      </w:r>
      <w:r>
        <w:rPr>
          <w:rFonts w:hint="eastAsia" w:ascii="仿宋_GB2312" w:hAnsi="仿宋_GB2312" w:eastAsia="仿宋_GB2312" w:cs="仿宋_GB2312"/>
          <w:color w:val="auto"/>
          <w:szCs w:val="32"/>
          <w:highlight w:val="none"/>
          <w:lang w:val="en-US" w:eastAsia="zh-CN"/>
        </w:rPr>
        <w:t>2”标志性产业链，</w:t>
      </w:r>
      <w:r>
        <w:rPr>
          <w:rFonts w:hint="eastAsia" w:ascii="仿宋_GB2312" w:hAnsi="仿宋_GB2312" w:eastAsia="仿宋_GB2312" w:cs="仿宋_GB2312"/>
          <w:color w:val="auto"/>
          <w:spacing w:val="0"/>
          <w:kern w:val="2"/>
          <w:sz w:val="32"/>
          <w:szCs w:val="32"/>
          <w:highlight w:val="none"/>
          <w:lang w:val="en-US" w:eastAsia="zh-CN" w:bidi="ar-SA"/>
        </w:rPr>
        <w:t>强化政策引导、要素保障和平台支撑，推动主导产业引领发展、特色产业错位突破，</w:t>
      </w:r>
      <w:r>
        <w:rPr>
          <w:rFonts w:hint="eastAsia" w:ascii="仿宋_GB2312" w:hAnsi="仿宋_GB2312" w:cs="仿宋_GB2312"/>
          <w:b w:val="0"/>
          <w:bCs w:val="0"/>
          <w:color w:val="auto"/>
          <w:szCs w:val="32"/>
          <w:highlight w:val="none"/>
          <w:lang w:val="en-US" w:eastAsia="zh-CN"/>
        </w:rPr>
        <w:t>做强优势品牌、做优产业集群</w:t>
      </w:r>
      <w:r>
        <w:rPr>
          <w:rFonts w:hint="eastAsia" w:ascii="仿宋_GB2312" w:hAnsi="仿宋_GB2312" w:eastAsia="仿宋_GB2312" w:cs="仿宋_GB2312"/>
          <w:color w:val="auto"/>
          <w:spacing w:val="0"/>
          <w:kern w:val="2"/>
          <w:sz w:val="32"/>
          <w:szCs w:val="32"/>
          <w:highlight w:val="none"/>
          <w:lang w:val="en-US" w:eastAsia="zh-CN" w:bidi="ar-SA"/>
        </w:rPr>
        <w:t>，构建具有核心竞争力</w:t>
      </w:r>
      <w:r>
        <w:rPr>
          <w:rFonts w:hint="eastAsia" w:cs="仿宋_GB2312"/>
          <w:b w:val="0"/>
          <w:bCs w:val="0"/>
          <w:color w:val="auto"/>
          <w:szCs w:val="32"/>
          <w:highlight w:val="none"/>
          <w:lang w:val="en-US" w:eastAsia="zh-CN"/>
        </w:rPr>
        <w:t>和济阳</w:t>
      </w:r>
      <w:r>
        <w:rPr>
          <w:rFonts w:hint="eastAsia" w:ascii="仿宋_GB2312" w:hAnsi="仿宋_GB2312" w:cs="仿宋_GB2312"/>
          <w:b w:val="0"/>
          <w:bCs w:val="0"/>
          <w:color w:val="auto"/>
          <w:szCs w:val="32"/>
          <w:highlight w:val="none"/>
          <w:lang w:val="en-US" w:eastAsia="zh-CN"/>
        </w:rPr>
        <w:t>特色</w:t>
      </w:r>
      <w:r>
        <w:rPr>
          <w:rFonts w:hint="eastAsia" w:ascii="仿宋_GB2312" w:hAnsi="仿宋_GB2312" w:eastAsia="仿宋_GB2312" w:cs="仿宋_GB2312"/>
          <w:color w:val="auto"/>
          <w:spacing w:val="0"/>
          <w:kern w:val="2"/>
          <w:sz w:val="32"/>
          <w:szCs w:val="32"/>
          <w:highlight w:val="none"/>
          <w:lang w:val="en-US" w:eastAsia="zh-CN" w:bidi="ar-SA"/>
        </w:rPr>
        <w:t>的先进制造业体系。</w:t>
      </w:r>
    </w:p>
    <w:p w14:paraId="084225A7">
      <w:pPr>
        <w:keepNext w:val="0"/>
        <w:keepLines w:val="0"/>
        <w:pageBreakBefore w:val="0"/>
        <w:widowControl w:val="0"/>
        <w:shd w:val="clear"/>
        <w:kinsoku/>
        <w:wordWrap/>
        <w:overflowPunct w:val="0"/>
        <w:topLinePunct w:val="0"/>
        <w:autoSpaceDE/>
        <w:autoSpaceDN/>
        <w:bidi w:val="0"/>
        <w:jc w:val="both"/>
        <w:textAlignment w:val="auto"/>
        <w:outlineLvl w:val="9"/>
        <w:rPr>
          <w:rFonts w:hint="default" w:ascii="仿宋_GB2312" w:hAnsi="仿宋_GB2312" w:eastAsia="仿宋_GB2312" w:cs="仿宋_GB2312"/>
          <w:color w:val="auto"/>
          <w:spacing w:val="0"/>
          <w:kern w:val="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（一）做强三大主导产业。</w:t>
      </w:r>
      <w:r>
        <w:rPr>
          <w:rFonts w:hint="eastAsia" w:cs="仿宋_GB2312"/>
          <w:b w:val="0"/>
          <w:bCs w:val="0"/>
          <w:color w:val="auto"/>
          <w:spacing w:val="0"/>
          <w:kern w:val="2"/>
          <w:sz w:val="32"/>
          <w:szCs w:val="32"/>
          <w:highlight w:val="none"/>
          <w:lang w:val="en-US" w:eastAsia="zh-CN" w:bidi="ar-SA"/>
        </w:rPr>
        <w:t>聚焦</w:t>
      </w:r>
      <w:r>
        <w:rPr>
          <w:rFonts w:hint="eastAsia" w:ascii="仿宋_GB2312" w:hAnsi="仿宋_GB2312" w:eastAsia="仿宋_GB2312" w:cs="仿宋_GB2312"/>
          <w:b w:val="0"/>
          <w:bCs w:val="0"/>
          <w:color w:val="auto"/>
          <w:spacing w:val="0"/>
          <w:kern w:val="2"/>
          <w:szCs w:val="32"/>
          <w:highlight w:val="none"/>
          <w:lang w:val="en-US" w:eastAsia="zh-CN"/>
        </w:rPr>
        <w:t>食品与生物制造</w:t>
      </w:r>
      <w:r>
        <w:rPr>
          <w:rFonts w:hint="eastAsia"/>
          <w:b w:val="0"/>
          <w:bCs w:val="0"/>
          <w:color w:val="auto"/>
          <w:highlight w:val="none"/>
          <w:lang w:eastAsia="zh-CN"/>
        </w:rPr>
        <w:t>、</w:t>
      </w:r>
      <w:r>
        <w:rPr>
          <w:rFonts w:hint="eastAsia" w:ascii="仿宋_GB2312" w:hAnsi="仿宋_GB2312" w:eastAsia="仿宋_GB2312" w:cs="仿宋_GB2312"/>
          <w:b w:val="0"/>
          <w:bCs w:val="0"/>
          <w:color w:val="auto"/>
          <w:spacing w:val="0"/>
          <w:kern w:val="2"/>
          <w:szCs w:val="32"/>
          <w:highlight w:val="none"/>
          <w:lang w:val="en-US" w:eastAsia="zh-CN"/>
        </w:rPr>
        <w:t>汽车</w:t>
      </w:r>
      <w:r>
        <w:rPr>
          <w:rFonts w:hint="eastAsia" w:cs="仿宋_GB2312"/>
          <w:b w:val="0"/>
          <w:bCs w:val="0"/>
          <w:color w:val="auto"/>
          <w:spacing w:val="0"/>
          <w:kern w:val="2"/>
          <w:szCs w:val="32"/>
          <w:highlight w:val="none"/>
          <w:lang w:val="en-US" w:eastAsia="zh-CN"/>
        </w:rPr>
        <w:t>、</w:t>
      </w:r>
      <w:r>
        <w:rPr>
          <w:rFonts w:hint="eastAsia" w:ascii="仿宋_GB2312" w:hAnsi="仿宋_GB2312" w:eastAsia="仿宋_GB2312" w:cs="仿宋_GB2312"/>
          <w:b w:val="0"/>
          <w:bCs w:val="0"/>
          <w:color w:val="auto"/>
          <w:spacing w:val="0"/>
          <w:kern w:val="2"/>
          <w:szCs w:val="32"/>
          <w:highlight w:val="none"/>
          <w:lang w:val="en-US" w:eastAsia="zh-CN"/>
        </w:rPr>
        <w:t>现代医药</w:t>
      </w:r>
      <w:r>
        <w:rPr>
          <w:rFonts w:hint="eastAsia" w:cs="仿宋_GB2312"/>
          <w:b w:val="0"/>
          <w:bCs w:val="0"/>
          <w:color w:val="auto"/>
          <w:spacing w:val="0"/>
          <w:kern w:val="2"/>
          <w:szCs w:val="32"/>
          <w:highlight w:val="none"/>
          <w:lang w:val="en-US" w:eastAsia="zh-CN"/>
        </w:rPr>
        <w:t>三大</w:t>
      </w:r>
      <w:r>
        <w:rPr>
          <w:rFonts w:hint="eastAsia"/>
          <w:color w:val="auto"/>
          <w:highlight w:val="none"/>
          <w:lang w:val="en-US" w:eastAsia="zh-CN"/>
        </w:rPr>
        <w:t>有主导优势的重点产业链，发挥产业链优势企业作用，加大关键技术攻关、自主延链、吸引配套力度，提高本地化配套率和产业集中度，带动全产业链上下游协同发展，形成具有区域影响力的产业集群。</w:t>
      </w:r>
      <w:r>
        <w:rPr>
          <w:rFonts w:hint="eastAsia" w:ascii="仿宋_GB2312" w:hAnsi="仿宋_GB2312" w:eastAsia="仿宋_GB2312" w:cs="仿宋_GB2312"/>
          <w:b/>
          <w:bCs/>
          <w:color w:val="auto"/>
          <w:spacing w:val="0"/>
          <w:kern w:val="2"/>
          <w:szCs w:val="32"/>
          <w:highlight w:val="none"/>
          <w:lang w:val="en-US" w:eastAsia="zh-CN"/>
        </w:rPr>
        <w:t>食品与生物制造产业。</w:t>
      </w:r>
      <w:r>
        <w:rPr>
          <w:rFonts w:hint="eastAsia" w:ascii="仿宋_GB2312" w:hAnsi="仿宋_GB2312" w:eastAsia="仿宋_GB2312" w:cs="仿宋_GB2312"/>
          <w:b w:val="0"/>
          <w:bCs w:val="0"/>
          <w:color w:val="auto"/>
          <w:spacing w:val="0"/>
          <w:kern w:val="2"/>
          <w:szCs w:val="32"/>
          <w:highlight w:val="none"/>
          <w:lang w:val="en-US" w:eastAsia="zh-CN"/>
        </w:rPr>
        <w:t>推动传统食品饮料产业向健康化、高端化跃升，全面激活并重塑存量</w:t>
      </w:r>
      <w:r>
        <w:rPr>
          <w:rFonts w:hint="eastAsia" w:cs="仿宋_GB2312"/>
          <w:b w:val="0"/>
          <w:bCs w:val="0"/>
          <w:color w:val="auto"/>
          <w:spacing w:val="0"/>
          <w:kern w:val="2"/>
          <w:szCs w:val="32"/>
          <w:highlight w:val="none"/>
          <w:lang w:val="en-US" w:eastAsia="zh-CN"/>
        </w:rPr>
        <w:t>新质</w:t>
      </w:r>
      <w:r>
        <w:rPr>
          <w:rFonts w:hint="eastAsia" w:ascii="仿宋_GB2312" w:hAnsi="仿宋_GB2312" w:eastAsia="仿宋_GB2312" w:cs="仿宋_GB2312"/>
          <w:b w:val="0"/>
          <w:bCs w:val="0"/>
          <w:color w:val="auto"/>
          <w:spacing w:val="0"/>
          <w:kern w:val="2"/>
          <w:szCs w:val="32"/>
          <w:highlight w:val="none"/>
          <w:lang w:val="en-US" w:eastAsia="zh-CN"/>
        </w:rPr>
        <w:t>生产力。依托本地优质农产品资源，构建从有机可持续原料、低碳清洁生产到高附加值终端产品的全链条绿色制造体系。重点发力功能性食品、生物活性肽等前沿领域，强化产学研协同，突破关键核心技术，培育具有市场竞争力的自主品牌。加快推进食品制造产业园等项目建设，促进产业链、创新链深度融合，构建以新技术、新工艺、新业态为特征的新质生产力集群，打造特色鲜明的产业创新生态。</w:t>
      </w:r>
      <w:r>
        <w:rPr>
          <w:rFonts w:hint="eastAsia" w:ascii="仿宋_GB2312" w:hAnsi="仿宋_GB2312" w:eastAsia="仿宋_GB2312" w:cs="仿宋_GB2312"/>
          <w:b/>
          <w:bCs/>
          <w:color w:val="auto"/>
          <w:spacing w:val="0"/>
          <w:kern w:val="2"/>
          <w:szCs w:val="32"/>
          <w:highlight w:val="none"/>
          <w:lang w:val="en-US" w:eastAsia="zh-CN"/>
        </w:rPr>
        <w:t>汽车产业。</w:t>
      </w:r>
      <w:r>
        <w:rPr>
          <w:rFonts w:hint="eastAsia" w:ascii="仿宋_GB2312" w:hAnsi="仿宋_GB2312" w:eastAsia="仿宋_GB2312" w:cs="仿宋_GB2312"/>
          <w:b w:val="0"/>
          <w:bCs w:val="0"/>
          <w:color w:val="auto"/>
          <w:spacing w:val="0"/>
          <w:kern w:val="2"/>
          <w:szCs w:val="32"/>
          <w:highlight w:val="none"/>
          <w:lang w:val="en-US" w:eastAsia="zh-CN"/>
        </w:rPr>
        <w:t>紧跟</w:t>
      </w:r>
      <w:r>
        <w:rPr>
          <w:rFonts w:hint="eastAsia" w:cs="仿宋_GB2312"/>
          <w:b w:val="0"/>
          <w:bCs w:val="0"/>
          <w:color w:val="auto"/>
          <w:spacing w:val="0"/>
          <w:kern w:val="2"/>
          <w:szCs w:val="32"/>
          <w:highlight w:val="none"/>
          <w:lang w:val="en-US" w:eastAsia="zh-CN"/>
        </w:rPr>
        <w:t>电动化</w:t>
      </w:r>
      <w:r>
        <w:rPr>
          <w:rFonts w:hint="eastAsia" w:ascii="仿宋_GB2312" w:hAnsi="仿宋_GB2312" w:eastAsia="仿宋_GB2312" w:cs="仿宋_GB2312"/>
          <w:b w:val="0"/>
          <w:bCs w:val="0"/>
          <w:color w:val="auto"/>
          <w:spacing w:val="0"/>
          <w:kern w:val="2"/>
          <w:szCs w:val="32"/>
          <w:highlight w:val="none"/>
          <w:lang w:val="en-US" w:eastAsia="zh-CN"/>
        </w:rPr>
        <w:t>、智能</w:t>
      </w:r>
      <w:r>
        <w:rPr>
          <w:rFonts w:hint="eastAsia" w:cs="仿宋_GB2312"/>
          <w:b w:val="0"/>
          <w:bCs w:val="0"/>
          <w:color w:val="auto"/>
          <w:spacing w:val="0"/>
          <w:kern w:val="2"/>
          <w:szCs w:val="32"/>
          <w:highlight w:val="none"/>
          <w:lang w:val="en-US" w:eastAsia="zh-CN"/>
        </w:rPr>
        <w:t>化、</w:t>
      </w:r>
      <w:r>
        <w:rPr>
          <w:rFonts w:hint="eastAsia" w:ascii="仿宋_GB2312" w:hAnsi="仿宋_GB2312" w:eastAsia="仿宋_GB2312" w:cs="仿宋_GB2312"/>
          <w:b w:val="0"/>
          <w:bCs w:val="0"/>
          <w:color w:val="auto"/>
          <w:spacing w:val="0"/>
          <w:kern w:val="2"/>
          <w:szCs w:val="32"/>
          <w:highlight w:val="none"/>
          <w:lang w:val="en-US" w:eastAsia="zh-CN"/>
        </w:rPr>
        <w:t>网联化发展趋势，以新能源汽车产业链为核心，强化与</w:t>
      </w:r>
      <w:r>
        <w:rPr>
          <w:rFonts w:hint="eastAsia" w:cs="仿宋_GB2312"/>
          <w:b w:val="0"/>
          <w:bCs w:val="0"/>
          <w:color w:val="auto"/>
          <w:spacing w:val="0"/>
          <w:kern w:val="2"/>
          <w:szCs w:val="32"/>
          <w:highlight w:val="none"/>
          <w:lang w:val="en-US" w:eastAsia="zh-CN"/>
        </w:rPr>
        <w:t>济南新旧动能转换起步区</w:t>
      </w:r>
      <w:r>
        <w:rPr>
          <w:rFonts w:hint="eastAsia" w:ascii="仿宋_GB2312" w:hAnsi="仿宋_GB2312" w:eastAsia="仿宋_GB2312" w:cs="仿宋_GB2312"/>
          <w:b w:val="0"/>
          <w:bCs w:val="0"/>
          <w:color w:val="auto"/>
          <w:spacing w:val="0"/>
          <w:kern w:val="2"/>
          <w:szCs w:val="32"/>
          <w:highlight w:val="none"/>
          <w:lang w:val="en-US" w:eastAsia="zh-CN"/>
        </w:rPr>
        <w:t>产业协同，推动整车与零部件企业联动发展。依托产业共同体在技术、品牌、数据与系统集成等方面的优势，通过订单引领、技术开放、标准互通、投资孵化等模式，推进招大引强，加强智能驾驶、车联网等关键技术研发与应用，构建链条完整、生态协同的新能源汽车产业集聚区。重点引进驱动电机、控制系统等关键零部件配套项目</w:t>
      </w:r>
      <w:r>
        <w:rPr>
          <w:rFonts w:hint="eastAsia" w:cs="仿宋_GB2312"/>
          <w:b w:val="0"/>
          <w:bCs w:val="0"/>
          <w:color w:val="auto"/>
          <w:spacing w:val="0"/>
          <w:kern w:val="2"/>
          <w:szCs w:val="32"/>
          <w:highlight w:val="none"/>
          <w:lang w:val="en-US" w:eastAsia="zh-CN"/>
        </w:rPr>
        <w:t>，推进</w:t>
      </w:r>
      <w:r>
        <w:rPr>
          <w:rFonts w:hint="eastAsia" w:ascii="仿宋_GB2312" w:hAnsi="仿宋_GB2312" w:eastAsia="仿宋_GB2312" w:cs="仿宋_GB2312"/>
          <w:b w:val="0"/>
          <w:bCs w:val="0"/>
          <w:color w:val="auto"/>
          <w:spacing w:val="0"/>
          <w:kern w:val="2"/>
          <w:szCs w:val="32"/>
          <w:highlight w:val="none"/>
          <w:lang w:val="en-US" w:eastAsia="zh-CN"/>
        </w:rPr>
        <w:t>新能源汽车配套零部件产业园</w:t>
      </w:r>
      <w:r>
        <w:rPr>
          <w:rFonts w:hint="eastAsia" w:cs="仿宋_GB2312"/>
          <w:b w:val="0"/>
          <w:bCs w:val="0"/>
          <w:color w:val="auto"/>
          <w:spacing w:val="0"/>
          <w:kern w:val="2"/>
          <w:szCs w:val="32"/>
          <w:highlight w:val="none"/>
          <w:lang w:val="en-US" w:eastAsia="zh-CN"/>
        </w:rPr>
        <w:t>、</w:t>
      </w:r>
      <w:r>
        <w:rPr>
          <w:rFonts w:hint="eastAsia" w:ascii="仿宋_GB2312" w:hAnsi="仿宋_GB2312" w:eastAsia="仿宋_GB2312" w:cs="仿宋_GB2312"/>
          <w:b w:val="0"/>
          <w:bCs w:val="0"/>
          <w:color w:val="auto"/>
          <w:spacing w:val="0"/>
          <w:kern w:val="2"/>
          <w:szCs w:val="32"/>
          <w:highlight w:val="none"/>
          <w:lang w:val="en-US" w:eastAsia="zh-CN"/>
        </w:rPr>
        <w:t>新建新能源整车提升改造</w:t>
      </w:r>
      <w:r>
        <w:rPr>
          <w:rFonts w:hint="eastAsia" w:cs="仿宋_GB2312"/>
          <w:b w:val="0"/>
          <w:bCs w:val="0"/>
          <w:color w:val="auto"/>
          <w:spacing w:val="0"/>
          <w:kern w:val="2"/>
          <w:szCs w:val="32"/>
          <w:highlight w:val="none"/>
          <w:lang w:val="en-US" w:eastAsia="zh-CN"/>
        </w:rPr>
        <w:t>等</w:t>
      </w:r>
      <w:r>
        <w:rPr>
          <w:rFonts w:hint="eastAsia" w:ascii="仿宋_GB2312" w:hAnsi="仿宋_GB2312" w:eastAsia="仿宋_GB2312" w:cs="仿宋_GB2312"/>
          <w:b w:val="0"/>
          <w:bCs w:val="0"/>
          <w:color w:val="auto"/>
          <w:spacing w:val="0"/>
          <w:kern w:val="2"/>
          <w:szCs w:val="32"/>
          <w:highlight w:val="none"/>
          <w:lang w:val="en-US" w:eastAsia="zh-CN"/>
        </w:rPr>
        <w:t>项目建设</w:t>
      </w:r>
      <w:r>
        <w:rPr>
          <w:rFonts w:hint="eastAsia" w:cs="仿宋_GB2312"/>
          <w:b w:val="0"/>
          <w:bCs w:val="0"/>
          <w:color w:val="auto"/>
          <w:spacing w:val="0"/>
          <w:kern w:val="2"/>
          <w:szCs w:val="32"/>
          <w:highlight w:val="none"/>
          <w:lang w:val="en-US" w:eastAsia="zh-CN"/>
        </w:rPr>
        <w:t>。</w:t>
      </w:r>
      <w:r>
        <w:rPr>
          <w:rFonts w:hint="eastAsia" w:ascii="仿宋_GB2312" w:hAnsi="仿宋_GB2312" w:eastAsia="仿宋_GB2312" w:cs="仿宋_GB2312"/>
          <w:b/>
          <w:bCs/>
          <w:color w:val="auto"/>
          <w:spacing w:val="0"/>
          <w:kern w:val="2"/>
          <w:szCs w:val="32"/>
          <w:highlight w:val="none"/>
          <w:lang w:val="en-US" w:eastAsia="zh-CN"/>
        </w:rPr>
        <w:t>现代医药产业。</w:t>
      </w:r>
      <w:r>
        <w:rPr>
          <w:rFonts w:hint="eastAsia" w:ascii="仿宋_GB2312" w:hAnsi="仿宋_GB2312" w:eastAsia="仿宋_GB2312" w:cs="仿宋_GB2312"/>
          <w:b w:val="0"/>
          <w:bCs w:val="0"/>
          <w:color w:val="auto"/>
          <w:spacing w:val="0"/>
          <w:kern w:val="2"/>
          <w:szCs w:val="32"/>
          <w:highlight w:val="none"/>
          <w:lang w:val="en-US" w:eastAsia="zh-CN"/>
        </w:rPr>
        <w:t>聚焦生物制药、现代中药等重点领域，实施内外双轮驱动，支持企业成长，强化高端项目招引。加快原研药、首仿药研发与产业化，着力搭建生物医药公共研发平台、CXO专业服务体系及高端制剂生产基地，推动产业集群化、专业化发展。</w:t>
      </w:r>
    </w:p>
    <w:p w14:paraId="7012BE71">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楷体_GB2312" w:hAnsi="楷体_GB2312" w:eastAsia="楷体_GB2312" w:cs="楷体_GB2312"/>
          <w:color w:val="auto"/>
          <w:sz w:val="32"/>
          <w:szCs w:val="32"/>
          <w:highlight w:val="none"/>
          <w:lang w:val="en-US" w:eastAsia="zh-CN"/>
        </w:rPr>
        <w:t>（二）做大两大特色产业。</w:t>
      </w:r>
      <w:r>
        <w:rPr>
          <w:rFonts w:hint="eastAsia" w:cs="仿宋_GB2312"/>
          <w:b w:val="0"/>
          <w:bCs w:val="0"/>
          <w:color w:val="auto"/>
          <w:spacing w:val="0"/>
          <w:kern w:val="2"/>
          <w:sz w:val="32"/>
          <w:szCs w:val="32"/>
          <w:highlight w:val="none"/>
          <w:lang w:val="en-US" w:eastAsia="zh-CN" w:bidi="ar-SA"/>
        </w:rPr>
        <w:t>聚焦专用装备、高端数控机床与机器人两大有发展基础的特色产业，</w:t>
      </w:r>
      <w:r>
        <w:rPr>
          <w:rFonts w:hint="eastAsia" w:ascii="仿宋_GB2312" w:hAnsi="仿宋_GB2312" w:eastAsia="仿宋_GB2312" w:cs="仿宋_GB2312"/>
          <w:b w:val="0"/>
          <w:bCs w:val="0"/>
          <w:color w:val="auto"/>
          <w:spacing w:val="0"/>
          <w:kern w:val="2"/>
          <w:sz w:val="32"/>
          <w:szCs w:val="32"/>
          <w:highlight w:val="none"/>
          <w:lang w:val="en-US" w:eastAsia="zh-CN" w:bidi="ar-SA"/>
        </w:rPr>
        <w:t>加快产业数字化、绿色化改造，</w:t>
      </w:r>
      <w:r>
        <w:rPr>
          <w:rFonts w:hint="eastAsia" w:cs="仿宋_GB2312"/>
          <w:b w:val="0"/>
          <w:bCs w:val="0"/>
          <w:color w:val="auto"/>
          <w:spacing w:val="0"/>
          <w:kern w:val="2"/>
          <w:sz w:val="32"/>
          <w:szCs w:val="32"/>
          <w:highlight w:val="none"/>
          <w:lang w:val="en-US" w:eastAsia="zh-CN" w:bidi="ar-SA"/>
        </w:rPr>
        <w:t>强化</w:t>
      </w:r>
      <w:r>
        <w:rPr>
          <w:rFonts w:hint="eastAsia" w:ascii="仿宋_GB2312" w:hAnsi="仿宋_GB2312" w:eastAsia="仿宋_GB2312" w:cs="仿宋_GB2312"/>
          <w:b w:val="0"/>
          <w:bCs w:val="0"/>
          <w:color w:val="auto"/>
          <w:spacing w:val="0"/>
          <w:kern w:val="2"/>
          <w:sz w:val="32"/>
          <w:szCs w:val="32"/>
          <w:highlight w:val="none"/>
          <w:lang w:val="en-US" w:eastAsia="zh-CN" w:bidi="ar-SA"/>
        </w:rPr>
        <w:t>核心技术攻关、政策支持力度，推动供应链协同、创新能力共享、数据资源对接，提升产业链运行效率和联结水平。</w:t>
      </w:r>
      <w:r>
        <w:rPr>
          <w:rFonts w:hint="eastAsia" w:ascii="仿宋_GB2312" w:hAnsi="仿宋_GB2312" w:eastAsia="仿宋_GB2312" w:cs="仿宋_GB2312"/>
          <w:b/>
          <w:bCs/>
          <w:color w:val="auto"/>
          <w:spacing w:val="0"/>
          <w:kern w:val="2"/>
          <w:sz w:val="32"/>
          <w:szCs w:val="32"/>
          <w:highlight w:val="none"/>
          <w:lang w:val="en-US" w:eastAsia="zh-CN" w:bidi="ar-SA"/>
        </w:rPr>
        <w:t>专用装备产业。</w:t>
      </w:r>
      <w:r>
        <w:rPr>
          <w:rFonts w:hint="eastAsia" w:ascii="仿宋_GB2312" w:hAnsi="仿宋_GB2312" w:eastAsia="仿宋_GB2312" w:cs="仿宋_GB2312"/>
          <w:b w:val="0"/>
          <w:bCs w:val="0"/>
          <w:color w:val="auto"/>
          <w:spacing w:val="0"/>
          <w:kern w:val="2"/>
          <w:sz w:val="32"/>
          <w:szCs w:val="32"/>
          <w:highlight w:val="none"/>
          <w:lang w:val="en-US" w:eastAsia="zh-CN" w:bidi="ar-SA"/>
        </w:rPr>
        <w:t>立足济阳在液压升降平台和家用电梯等细分领域的特色优势，布局发展电力设备制造产业，加强关键核心技术攻关，积极培育专精特新“小巨人”企业，持续完善从锻造、机械加工到整机制造、成套设备的完整产业链</w:t>
      </w:r>
      <w:r>
        <w:rPr>
          <w:rFonts w:hint="eastAsia" w:cs="仿宋_GB2312"/>
          <w:b w:val="0"/>
          <w:bCs w:val="0"/>
          <w:color w:val="auto"/>
          <w:spacing w:val="0"/>
          <w:kern w:val="2"/>
          <w:sz w:val="32"/>
          <w:szCs w:val="32"/>
          <w:highlight w:val="none"/>
          <w:lang w:val="en-US" w:eastAsia="zh-CN" w:bidi="ar-SA"/>
        </w:rPr>
        <w:t>，</w:t>
      </w:r>
      <w:r>
        <w:rPr>
          <w:rFonts w:hint="eastAsia" w:ascii="仿宋_GB2312" w:hAnsi="仿宋_GB2312" w:eastAsia="仿宋_GB2312" w:cs="仿宋_GB2312"/>
          <w:b w:val="0"/>
          <w:bCs w:val="0"/>
          <w:color w:val="auto"/>
          <w:spacing w:val="0"/>
          <w:kern w:val="2"/>
          <w:sz w:val="32"/>
          <w:szCs w:val="32"/>
          <w:highlight w:val="none"/>
          <w:lang w:val="en-US" w:eastAsia="zh-CN" w:bidi="ar-SA"/>
        </w:rPr>
        <w:t>着力推进信息技术、智能技术与专用装备制造的深度融合，推动产业向高端化、智能化方向升级。</w:t>
      </w:r>
      <w:r>
        <w:rPr>
          <w:rFonts w:hint="eastAsia" w:cs="仿宋_GB2312"/>
          <w:color w:val="auto"/>
          <w:spacing w:val="0"/>
          <w:kern w:val="2"/>
          <w:sz w:val="32"/>
          <w:szCs w:val="32"/>
          <w:highlight w:val="none"/>
          <w:lang w:val="en-US" w:eastAsia="zh-CN" w:bidi="ar-SA"/>
        </w:rPr>
        <w:t>重点推进</w:t>
      </w:r>
      <w:r>
        <w:rPr>
          <w:rFonts w:hint="eastAsia"/>
          <w:color w:val="auto"/>
          <w:kern w:val="2"/>
          <w:szCs w:val="32"/>
          <w:highlight w:val="none"/>
        </w:rPr>
        <w:t>扩建年产4000台臂式智能高空作业车</w:t>
      </w:r>
      <w:r>
        <w:rPr>
          <w:rFonts w:hint="eastAsia"/>
          <w:color w:val="auto"/>
          <w:kern w:val="2"/>
          <w:szCs w:val="32"/>
          <w:highlight w:val="none"/>
          <w:lang w:val="en-US" w:eastAsia="zh-CN"/>
        </w:rPr>
        <w:t>等项目，</w:t>
      </w:r>
      <w:r>
        <w:rPr>
          <w:rFonts w:hint="eastAsia" w:ascii="仿宋_GB2312" w:hAnsi="仿宋_GB2312" w:eastAsia="仿宋_GB2312" w:cs="仿宋_GB2312"/>
          <w:color w:val="auto"/>
          <w:spacing w:val="0"/>
          <w:kern w:val="2"/>
          <w:sz w:val="32"/>
          <w:szCs w:val="32"/>
          <w:highlight w:val="none"/>
          <w:lang w:val="en-US" w:eastAsia="zh-CN" w:bidi="ar-SA"/>
        </w:rPr>
        <w:t>形成具有济阳特色、专业优势明显的专用装备制造体系。</w:t>
      </w:r>
      <w:r>
        <w:rPr>
          <w:rFonts w:hint="eastAsia" w:ascii="仿宋_GB2312" w:hAnsi="仿宋_GB2312" w:eastAsia="仿宋_GB2312" w:cs="仿宋_GB2312"/>
          <w:b/>
          <w:bCs/>
          <w:color w:val="auto"/>
          <w:spacing w:val="0"/>
          <w:kern w:val="2"/>
          <w:sz w:val="32"/>
          <w:szCs w:val="32"/>
          <w:highlight w:val="none"/>
          <w:lang w:val="en-US" w:eastAsia="zh-CN" w:bidi="ar-SA"/>
        </w:rPr>
        <w:t>高端数控机床与机器人产业。</w:t>
      </w:r>
      <w:r>
        <w:rPr>
          <w:rFonts w:hint="eastAsia" w:ascii="仿宋_GB2312" w:hAnsi="仿宋_GB2312" w:eastAsia="仿宋_GB2312" w:cs="仿宋_GB2312"/>
          <w:color w:val="auto"/>
          <w:spacing w:val="0"/>
          <w:kern w:val="2"/>
          <w:sz w:val="32"/>
          <w:szCs w:val="32"/>
          <w:highlight w:val="none"/>
          <w:lang w:val="en-US" w:eastAsia="zh-CN" w:bidi="ar-SA"/>
        </w:rPr>
        <w:t>以高精度、高可靠性为核心，推动数控机床与机器人在汽车、航空航天等领域的集成应用，</w:t>
      </w:r>
      <w:r>
        <w:rPr>
          <w:rFonts w:hint="eastAsia" w:cs="仿宋_GB2312"/>
          <w:color w:val="auto"/>
          <w:spacing w:val="0"/>
          <w:kern w:val="2"/>
          <w:sz w:val="32"/>
          <w:szCs w:val="32"/>
          <w:highlight w:val="none"/>
          <w:lang w:val="en-US" w:eastAsia="zh-CN" w:bidi="ar-SA"/>
        </w:rPr>
        <w:t>争创</w:t>
      </w:r>
      <w:r>
        <w:rPr>
          <w:rFonts w:hint="eastAsia" w:ascii="仿宋_GB2312" w:hAnsi="仿宋_GB2312" w:eastAsia="仿宋_GB2312" w:cs="仿宋_GB2312"/>
          <w:color w:val="auto"/>
          <w:spacing w:val="0"/>
          <w:kern w:val="2"/>
          <w:sz w:val="32"/>
          <w:szCs w:val="32"/>
          <w:highlight w:val="none"/>
          <w:lang w:val="en-US" w:eastAsia="zh-CN" w:bidi="ar-SA"/>
        </w:rPr>
        <w:t>建设国内领先的高端装备制造基地。全力构建完善产业生态，</w:t>
      </w:r>
      <w:r>
        <w:rPr>
          <w:rFonts w:hint="eastAsia" w:cs="仿宋_GB2312"/>
          <w:color w:val="auto"/>
          <w:spacing w:val="0"/>
          <w:kern w:val="2"/>
          <w:sz w:val="32"/>
          <w:szCs w:val="32"/>
          <w:highlight w:val="none"/>
          <w:lang w:val="en-US" w:eastAsia="zh-CN" w:bidi="ar-SA"/>
        </w:rPr>
        <w:t>加快推进激光智能装备制造基地、年产4000套智能机器人等</w:t>
      </w:r>
      <w:r>
        <w:rPr>
          <w:rFonts w:hint="eastAsia" w:ascii="仿宋_GB2312" w:hAnsi="仿宋_GB2312" w:eastAsia="仿宋_GB2312" w:cs="仿宋_GB2312"/>
          <w:color w:val="auto"/>
          <w:spacing w:val="0"/>
          <w:kern w:val="2"/>
          <w:sz w:val="32"/>
          <w:szCs w:val="32"/>
          <w:highlight w:val="none"/>
          <w:lang w:val="en-US" w:eastAsia="zh-CN" w:bidi="ar-SA"/>
        </w:rPr>
        <w:t>项目</w:t>
      </w:r>
      <w:r>
        <w:rPr>
          <w:rFonts w:hint="eastAsia" w:cs="仿宋_GB2312"/>
          <w:color w:val="auto"/>
          <w:spacing w:val="0"/>
          <w:kern w:val="2"/>
          <w:sz w:val="32"/>
          <w:szCs w:val="32"/>
          <w:highlight w:val="none"/>
          <w:lang w:val="en-US" w:eastAsia="zh-CN" w:bidi="ar-SA"/>
        </w:rPr>
        <w:t>建设，</w:t>
      </w:r>
      <w:r>
        <w:rPr>
          <w:rFonts w:hint="eastAsia" w:ascii="仿宋_GB2312" w:hAnsi="仿宋_GB2312" w:eastAsia="仿宋_GB2312" w:cs="仿宋_GB2312"/>
          <w:color w:val="auto"/>
          <w:spacing w:val="0"/>
          <w:kern w:val="2"/>
          <w:sz w:val="32"/>
          <w:szCs w:val="32"/>
          <w:highlight w:val="none"/>
          <w:lang w:val="en-US" w:eastAsia="zh-CN" w:bidi="ar-SA"/>
        </w:rPr>
        <w:t>打造涵盖零部件供应、系统集成、行业应用的完整产业链，积极引进外部优质资源，搭建产业服务平台，为产业发展筑牢根基。</w:t>
      </w:r>
    </w:p>
    <w:p w14:paraId="020853E8">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0" w:firstLineChars="0"/>
        <w:jc w:val="center"/>
        <w:textAlignment w:val="auto"/>
        <w:outlineLvl w:val="2"/>
        <w:rPr>
          <w:rFonts w:hint="default" w:ascii="楷体_GB2312" w:hAnsi="楷体_GB2312" w:eastAsia="楷体_GB2312" w:cs="楷体_GB2312"/>
          <w:b w:val="0"/>
          <w:bCs w:val="0"/>
          <w:color w:val="auto"/>
          <w:spacing w:val="0"/>
          <w:kern w:val="2"/>
          <w:sz w:val="28"/>
          <w:szCs w:val="28"/>
          <w:highlight w:val="none"/>
          <w:lang w:val="en-US" w:eastAsia="zh-CN"/>
        </w:rPr>
      </w:pPr>
      <w:bookmarkStart w:id="85" w:name="_Toc918"/>
      <w:r>
        <w:rPr>
          <w:rFonts w:hint="eastAsia" w:ascii="楷体_GB2312" w:hAnsi="楷体_GB2312" w:eastAsia="楷体_GB2312" w:cs="楷体_GB2312"/>
          <w:b w:val="0"/>
          <w:bCs w:val="0"/>
          <w:color w:val="auto"/>
          <w:spacing w:val="0"/>
          <w:kern w:val="2"/>
          <w:sz w:val="28"/>
          <w:szCs w:val="28"/>
          <w:highlight w:val="none"/>
          <w:lang w:val="en-US" w:eastAsia="zh-CN"/>
        </w:rPr>
        <w:t>专栏2  “3＋2”产业链重点发展方向</w:t>
      </w:r>
      <w:bookmarkEnd w:id="85"/>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16DD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Borders>
              <w:left w:val="nil"/>
              <w:right w:val="nil"/>
            </w:tcBorders>
          </w:tcPr>
          <w:p w14:paraId="439F64E4">
            <w:pPr>
              <w:keepNext w:val="0"/>
              <w:keepLines w:val="0"/>
              <w:pageBreakBefore w:val="0"/>
              <w:widowControl w:val="0"/>
              <w:shd w:val="clear"/>
              <w:kinsoku/>
              <w:wordWrap/>
              <w:overflowPunct w:val="0"/>
              <w:topLinePunct w:val="0"/>
              <w:autoSpaceDE/>
              <w:autoSpaceDN/>
              <w:bidi w:val="0"/>
              <w:adjustRightInd/>
              <w:snapToGrid/>
              <w:spacing w:line="480" w:lineRule="exact"/>
              <w:ind w:firstLine="560"/>
              <w:jc w:val="both"/>
              <w:textAlignment w:val="auto"/>
              <w:outlineLvl w:val="9"/>
              <w:rPr>
                <w:rFonts w:hint="eastAsia" w:ascii="楷体_GB2312" w:hAnsi="楷体_GB2312" w:eastAsia="楷体_GB2312" w:cs="楷体_GB2312"/>
                <w:color w:val="auto"/>
                <w:kern w:val="2"/>
                <w:sz w:val="28"/>
                <w:szCs w:val="28"/>
                <w:highlight w:val="none"/>
                <w:u w:val="none" w:color="auto"/>
                <w:vertAlign w:val="baseline"/>
                <w:lang w:val="en-US" w:eastAsia="zh-CN"/>
              </w:rPr>
            </w:pPr>
            <w:r>
              <w:rPr>
                <w:rFonts w:hint="eastAsia" w:ascii="楷体_GB2312" w:hAnsi="楷体_GB2312" w:eastAsia="楷体_GB2312" w:cs="楷体_GB2312"/>
                <w:b/>
                <w:bCs/>
                <w:color w:val="auto"/>
                <w:kern w:val="2"/>
                <w:sz w:val="28"/>
                <w:szCs w:val="28"/>
                <w:highlight w:val="none"/>
                <w:u w:val="none" w:color="auto"/>
                <w:vertAlign w:val="baseline"/>
                <w:lang w:val="en-US" w:eastAsia="zh-CN"/>
              </w:rPr>
              <w:t>1.食品与生物制造产业</w:t>
            </w:r>
            <w:r>
              <w:rPr>
                <w:rFonts w:hint="eastAsia" w:ascii="楷体_GB2312" w:hAnsi="楷体_GB2312" w:eastAsia="楷体_GB2312" w:cs="楷体_GB2312"/>
                <w:b/>
                <w:bCs/>
                <w:color w:val="auto"/>
                <w:sz w:val="28"/>
                <w:szCs w:val="28"/>
                <w:highlight w:val="none"/>
                <w:lang w:val="en-US" w:eastAsia="zh-CN"/>
              </w:rPr>
              <w:t>链</w:t>
            </w:r>
            <w:r>
              <w:rPr>
                <w:rFonts w:hint="eastAsia" w:ascii="楷体_GB2312" w:hAnsi="楷体_GB2312" w:eastAsia="楷体_GB2312" w:cs="楷体_GB2312"/>
                <w:color w:val="auto"/>
                <w:kern w:val="2"/>
                <w:sz w:val="28"/>
                <w:szCs w:val="28"/>
                <w:highlight w:val="none"/>
                <w:u w:val="none" w:color="auto"/>
                <w:vertAlign w:val="baseline"/>
                <w:lang w:val="en-US" w:eastAsia="zh-CN"/>
              </w:rPr>
              <w:t>：推动特殊食品、生物制造等细分领域做精做深，重点发展特医食品、代餐食品、宠物食品、老年食品、运动食品、保健功能食品等细分产业，前瞻布局合成生物制造、生物基材料等前沿领域，构建从原料供应、研发创新到智能制造的全链条产业体系。</w:t>
            </w:r>
          </w:p>
          <w:p w14:paraId="265A8EDC">
            <w:pPr>
              <w:keepNext w:val="0"/>
              <w:keepLines w:val="0"/>
              <w:pageBreakBefore w:val="0"/>
              <w:widowControl w:val="0"/>
              <w:shd w:val="clear"/>
              <w:kinsoku/>
              <w:wordWrap/>
              <w:overflowPunct w:val="0"/>
              <w:topLinePunct w:val="0"/>
              <w:autoSpaceDE/>
              <w:autoSpaceDN/>
              <w:bidi w:val="0"/>
              <w:adjustRightInd/>
              <w:snapToGrid/>
              <w:spacing w:line="480" w:lineRule="exact"/>
              <w:ind w:firstLine="560"/>
              <w:jc w:val="both"/>
              <w:textAlignment w:val="auto"/>
              <w:outlineLvl w:val="9"/>
              <w:rPr>
                <w:rFonts w:hint="eastAsia" w:ascii="楷体_GB2312" w:hAnsi="楷体_GB2312" w:eastAsia="楷体_GB2312" w:cs="楷体_GB2312"/>
                <w:color w:val="auto"/>
                <w:kern w:val="2"/>
                <w:sz w:val="28"/>
                <w:szCs w:val="28"/>
                <w:highlight w:val="none"/>
                <w:u w:val="none" w:color="auto"/>
                <w:vertAlign w:val="baseline"/>
                <w:lang w:val="en-US" w:eastAsia="zh-CN"/>
              </w:rPr>
            </w:pPr>
            <w:r>
              <w:rPr>
                <w:rFonts w:hint="eastAsia" w:ascii="楷体_GB2312" w:hAnsi="楷体_GB2312" w:eastAsia="楷体_GB2312" w:cs="楷体_GB2312"/>
                <w:b/>
                <w:bCs/>
                <w:color w:val="auto"/>
                <w:kern w:val="2"/>
                <w:sz w:val="28"/>
                <w:szCs w:val="28"/>
                <w:highlight w:val="none"/>
                <w:u w:val="none" w:color="auto"/>
                <w:vertAlign w:val="baseline"/>
                <w:lang w:val="en-US" w:eastAsia="zh-CN"/>
              </w:rPr>
              <w:t>2.汽车产业</w:t>
            </w:r>
            <w:r>
              <w:rPr>
                <w:rFonts w:hint="eastAsia" w:ascii="楷体_GB2312" w:hAnsi="楷体_GB2312" w:eastAsia="楷体_GB2312" w:cs="楷体_GB2312"/>
                <w:b/>
                <w:bCs/>
                <w:color w:val="auto"/>
                <w:sz w:val="28"/>
                <w:szCs w:val="28"/>
                <w:highlight w:val="none"/>
                <w:lang w:val="en-US" w:eastAsia="zh-CN"/>
              </w:rPr>
              <w:t>链</w:t>
            </w:r>
            <w:r>
              <w:rPr>
                <w:rFonts w:hint="eastAsia" w:ascii="楷体_GB2312" w:hAnsi="楷体_GB2312" w:eastAsia="楷体_GB2312" w:cs="楷体_GB2312"/>
                <w:color w:val="auto"/>
                <w:kern w:val="2"/>
                <w:sz w:val="28"/>
                <w:szCs w:val="28"/>
                <w:highlight w:val="none"/>
                <w:u w:val="none" w:color="auto"/>
                <w:vertAlign w:val="baseline"/>
                <w:lang w:val="en-US" w:eastAsia="zh-CN"/>
              </w:rPr>
              <w:t>：以新能源汽车制造为牵引，重点发展驱动电机、控制系统等关键零部件，布局智能网联汽车新兴零部件，构建涵盖关键零部件-系统总成-整车制造的新能源汽车产业链生态。</w:t>
            </w:r>
          </w:p>
          <w:p w14:paraId="32181DD4">
            <w:pPr>
              <w:keepNext w:val="0"/>
              <w:keepLines w:val="0"/>
              <w:pageBreakBefore w:val="0"/>
              <w:widowControl w:val="0"/>
              <w:shd w:val="clear"/>
              <w:kinsoku/>
              <w:wordWrap/>
              <w:overflowPunct w:val="0"/>
              <w:topLinePunct w:val="0"/>
              <w:autoSpaceDE/>
              <w:autoSpaceDN/>
              <w:bidi w:val="0"/>
              <w:adjustRightInd/>
              <w:snapToGrid/>
              <w:spacing w:line="480" w:lineRule="exact"/>
              <w:ind w:firstLine="560"/>
              <w:jc w:val="both"/>
              <w:textAlignment w:val="auto"/>
              <w:outlineLvl w:val="9"/>
              <w:rPr>
                <w:rFonts w:hint="eastAsia" w:ascii="楷体_GB2312" w:hAnsi="楷体_GB2312" w:eastAsia="楷体_GB2312" w:cs="楷体_GB2312"/>
                <w:color w:val="auto"/>
                <w:kern w:val="2"/>
                <w:sz w:val="28"/>
                <w:szCs w:val="28"/>
                <w:highlight w:val="none"/>
                <w:u w:val="none" w:color="auto"/>
                <w:vertAlign w:val="baseline"/>
                <w:lang w:val="en-US" w:eastAsia="zh-CN"/>
              </w:rPr>
            </w:pPr>
            <w:r>
              <w:rPr>
                <w:rFonts w:hint="eastAsia" w:ascii="楷体_GB2312" w:hAnsi="楷体_GB2312" w:eastAsia="楷体_GB2312" w:cs="楷体_GB2312"/>
                <w:b/>
                <w:bCs/>
                <w:color w:val="auto"/>
                <w:kern w:val="2"/>
                <w:sz w:val="28"/>
                <w:szCs w:val="28"/>
                <w:highlight w:val="none"/>
                <w:u w:val="none" w:color="auto"/>
                <w:vertAlign w:val="baseline"/>
                <w:lang w:val="en-US" w:eastAsia="zh-CN"/>
              </w:rPr>
              <w:t>3.现代医药产业</w:t>
            </w:r>
            <w:r>
              <w:rPr>
                <w:rFonts w:hint="eastAsia" w:ascii="楷体_GB2312" w:hAnsi="楷体_GB2312" w:eastAsia="楷体_GB2312" w:cs="楷体_GB2312"/>
                <w:b/>
                <w:bCs/>
                <w:color w:val="auto"/>
                <w:sz w:val="28"/>
                <w:szCs w:val="28"/>
                <w:highlight w:val="none"/>
                <w:lang w:val="en-US" w:eastAsia="zh-CN"/>
              </w:rPr>
              <w:t>链</w:t>
            </w:r>
            <w:r>
              <w:rPr>
                <w:rFonts w:hint="eastAsia" w:ascii="楷体_GB2312" w:hAnsi="楷体_GB2312" w:eastAsia="楷体_GB2312" w:cs="楷体_GB2312"/>
                <w:color w:val="auto"/>
                <w:kern w:val="2"/>
                <w:sz w:val="28"/>
                <w:szCs w:val="28"/>
                <w:highlight w:val="none"/>
                <w:u w:val="none" w:color="auto"/>
                <w:vertAlign w:val="baseline"/>
                <w:lang w:val="en-US" w:eastAsia="zh-CN"/>
              </w:rPr>
              <w:t>：重点发展合成生物、医疗器械和健康产品三大领域，依托生物医药等优势产业，推动中医药与现代医药协同发展，打造研产销一体化的医药健康产业体系。</w:t>
            </w:r>
          </w:p>
          <w:p w14:paraId="0CD7D877">
            <w:pPr>
              <w:keepNext w:val="0"/>
              <w:keepLines w:val="0"/>
              <w:pageBreakBefore w:val="0"/>
              <w:widowControl w:val="0"/>
              <w:shd w:val="clear"/>
              <w:kinsoku/>
              <w:wordWrap/>
              <w:overflowPunct w:val="0"/>
              <w:topLinePunct w:val="0"/>
              <w:autoSpaceDE/>
              <w:autoSpaceDN/>
              <w:bidi w:val="0"/>
              <w:adjustRightInd/>
              <w:snapToGrid/>
              <w:spacing w:line="480" w:lineRule="exact"/>
              <w:ind w:firstLine="560"/>
              <w:jc w:val="both"/>
              <w:textAlignment w:val="auto"/>
              <w:outlineLvl w:val="9"/>
              <w:rPr>
                <w:rFonts w:hint="eastAsia" w:ascii="楷体_GB2312" w:hAnsi="楷体_GB2312" w:eastAsia="楷体_GB2312" w:cs="楷体_GB2312"/>
                <w:color w:val="auto"/>
                <w:kern w:val="2"/>
                <w:sz w:val="28"/>
                <w:szCs w:val="28"/>
                <w:highlight w:val="none"/>
                <w:u w:val="none" w:color="auto"/>
                <w:vertAlign w:val="baseline"/>
                <w:lang w:val="en-US" w:eastAsia="zh-CN"/>
              </w:rPr>
            </w:pPr>
            <w:r>
              <w:rPr>
                <w:rFonts w:hint="eastAsia" w:ascii="楷体_GB2312" w:hAnsi="楷体_GB2312" w:eastAsia="楷体_GB2312" w:cs="楷体_GB2312"/>
                <w:b/>
                <w:bCs/>
                <w:color w:val="auto"/>
                <w:kern w:val="2"/>
                <w:sz w:val="28"/>
                <w:szCs w:val="28"/>
                <w:highlight w:val="none"/>
                <w:u w:val="none" w:color="auto"/>
                <w:vertAlign w:val="baseline"/>
                <w:lang w:val="en-US" w:eastAsia="zh-CN"/>
              </w:rPr>
              <w:t>4.专用装备制造产业</w:t>
            </w:r>
            <w:r>
              <w:rPr>
                <w:rFonts w:hint="eastAsia" w:ascii="楷体_GB2312" w:hAnsi="楷体_GB2312" w:eastAsia="楷体_GB2312" w:cs="楷体_GB2312"/>
                <w:b/>
                <w:bCs/>
                <w:color w:val="auto"/>
                <w:sz w:val="28"/>
                <w:szCs w:val="28"/>
                <w:highlight w:val="none"/>
                <w:lang w:val="en-US" w:eastAsia="zh-CN"/>
              </w:rPr>
              <w:t>链</w:t>
            </w:r>
            <w:r>
              <w:rPr>
                <w:rFonts w:hint="eastAsia" w:ascii="楷体_GB2312" w:hAnsi="楷体_GB2312" w:eastAsia="楷体_GB2312" w:cs="楷体_GB2312"/>
                <w:color w:val="auto"/>
                <w:kern w:val="2"/>
                <w:sz w:val="28"/>
                <w:szCs w:val="28"/>
                <w:highlight w:val="none"/>
                <w:u w:val="none" w:color="auto"/>
                <w:vertAlign w:val="baseline"/>
                <w:lang w:val="en-US" w:eastAsia="zh-CN"/>
              </w:rPr>
              <w:t>：持续巩固液压升降平台、智能变电站设备等细分领域优势，推动产品智能化、系统化升级，拓展新能源装备等新兴领域，构建专业突出、配套完善的特色装备产业链。</w:t>
            </w:r>
          </w:p>
          <w:p w14:paraId="3715828A">
            <w:pPr>
              <w:keepNext w:val="0"/>
              <w:keepLines w:val="0"/>
              <w:pageBreakBefore w:val="0"/>
              <w:widowControl w:val="0"/>
              <w:shd w:val="clear"/>
              <w:kinsoku/>
              <w:wordWrap/>
              <w:overflowPunct w:val="0"/>
              <w:topLinePunct w:val="0"/>
              <w:autoSpaceDE/>
              <w:autoSpaceDN/>
              <w:bidi w:val="0"/>
              <w:adjustRightInd/>
              <w:snapToGrid/>
              <w:spacing w:line="480" w:lineRule="exact"/>
              <w:ind w:firstLine="560"/>
              <w:jc w:val="both"/>
              <w:textAlignment w:val="auto"/>
              <w:outlineLvl w:val="9"/>
              <w:rPr>
                <w:rFonts w:hint="eastAsia" w:ascii="楷体_GB2312" w:hAnsi="楷体_GB2312" w:eastAsia="楷体_GB2312" w:cs="楷体_GB2312"/>
                <w:color w:val="auto"/>
                <w:sz w:val="28"/>
                <w:szCs w:val="28"/>
                <w:highlight w:val="none"/>
                <w:vertAlign w:val="baseline"/>
                <w:lang w:val="en-US" w:eastAsia="zh-CN"/>
              </w:rPr>
            </w:pPr>
            <w:r>
              <w:rPr>
                <w:rFonts w:hint="eastAsia" w:ascii="楷体_GB2312" w:hAnsi="楷体_GB2312" w:eastAsia="楷体_GB2312" w:cs="楷体_GB2312"/>
                <w:b/>
                <w:bCs/>
                <w:color w:val="auto"/>
                <w:kern w:val="2"/>
                <w:sz w:val="28"/>
                <w:szCs w:val="28"/>
                <w:highlight w:val="none"/>
                <w:u w:val="none" w:color="auto"/>
                <w:vertAlign w:val="baseline"/>
                <w:lang w:val="en-US" w:eastAsia="zh-CN"/>
              </w:rPr>
              <w:t>5.高端数控机床与机器人产业</w:t>
            </w:r>
            <w:r>
              <w:rPr>
                <w:rFonts w:hint="eastAsia" w:ascii="楷体_GB2312" w:hAnsi="楷体_GB2312" w:eastAsia="楷体_GB2312" w:cs="楷体_GB2312"/>
                <w:b/>
                <w:bCs/>
                <w:color w:val="auto"/>
                <w:sz w:val="28"/>
                <w:szCs w:val="28"/>
                <w:highlight w:val="none"/>
                <w:lang w:val="en-US" w:eastAsia="zh-CN"/>
              </w:rPr>
              <w:t>链</w:t>
            </w:r>
            <w:r>
              <w:rPr>
                <w:rFonts w:hint="eastAsia" w:ascii="楷体_GB2312" w:hAnsi="楷体_GB2312" w:eastAsia="楷体_GB2312" w:cs="楷体_GB2312"/>
                <w:color w:val="auto"/>
                <w:kern w:val="2"/>
                <w:sz w:val="28"/>
                <w:szCs w:val="28"/>
                <w:highlight w:val="none"/>
                <w:u w:val="none" w:color="auto"/>
                <w:vertAlign w:val="baseline"/>
                <w:lang w:val="en-US" w:eastAsia="zh-CN"/>
              </w:rPr>
              <w:t>：提升高端数控机床自主配套能力，拓展工业机器人、激光装备等高端领域，打造技术领先、应用广泛的智能制造装备产业链。</w:t>
            </w:r>
          </w:p>
        </w:tc>
      </w:tr>
    </w:tbl>
    <w:p w14:paraId="2A2B7818">
      <w:pPr>
        <w:keepNext w:val="0"/>
        <w:keepLines w:val="0"/>
        <w:pageBreakBefore w:val="0"/>
        <w:widowControl w:val="0"/>
        <w:shd w:val="clear"/>
        <w:kinsoku/>
        <w:wordWrap/>
        <w:overflowPunct w:val="0"/>
        <w:topLinePunct w:val="0"/>
        <w:autoSpaceDE/>
        <w:autoSpaceDN/>
        <w:bidi w:val="0"/>
        <w:adjustRightInd/>
        <w:snapToGrid/>
        <w:spacing w:beforeLines="0" w:afterLines="0"/>
        <w:ind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（三）推进制造业链式集群发展。</w:t>
      </w:r>
      <w:bookmarkStart w:id="86" w:name="_Toc10166"/>
      <w:bookmarkStart w:id="87" w:name="_Toc3836"/>
      <w:bookmarkStart w:id="88" w:name="_Toc14044"/>
      <w:bookmarkStart w:id="89" w:name="_Toc12498"/>
      <w:bookmarkStart w:id="90" w:name="_Toc32456"/>
      <w:bookmarkStart w:id="91" w:name="_Toc151"/>
      <w:r>
        <w:rPr>
          <w:rFonts w:hint="eastAsia" w:ascii="仿宋_GB2312" w:hAnsi="仿宋_GB2312" w:eastAsia="仿宋_GB2312" w:cs="仿宋_GB2312"/>
          <w:color w:val="auto"/>
          <w:sz w:val="32"/>
          <w:szCs w:val="32"/>
          <w:highlight w:val="none"/>
          <w:lang w:val="en-US" w:eastAsia="zh-CN"/>
        </w:rPr>
        <w:t>立足全区“3</w:t>
      </w:r>
      <w:r>
        <w:rPr>
          <w:rFonts w:hint="eastAsia"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2”产业定位，全面实施产业链“链长制”，充分发挥</w:t>
      </w:r>
      <w:r>
        <w:rPr>
          <w:rFonts w:hint="eastAsia" w:cs="仿宋_GB2312"/>
          <w:b w:val="0"/>
          <w:bCs w:val="0"/>
          <w:color w:val="auto"/>
          <w:szCs w:val="32"/>
          <w:highlight w:val="none"/>
          <w:lang w:val="en-US" w:eastAsia="zh-CN"/>
        </w:rPr>
        <w:t>山东</w:t>
      </w:r>
      <w:r>
        <w:rPr>
          <w:rFonts w:hint="eastAsia" w:ascii="仿宋_GB2312" w:hAnsi="仿宋_GB2312" w:eastAsia="仿宋_GB2312" w:cs="仿宋_GB2312"/>
          <w:b w:val="0"/>
          <w:bCs w:val="0"/>
          <w:color w:val="auto"/>
          <w:szCs w:val="32"/>
          <w:highlight w:val="none"/>
          <w:lang w:eastAsia="zh-CN"/>
        </w:rPr>
        <w:t>济北经济开发区</w:t>
      </w:r>
      <w:r>
        <w:rPr>
          <w:rFonts w:hint="eastAsia" w:ascii="仿宋_GB2312" w:hAnsi="仿宋_GB2312" w:eastAsia="仿宋_GB2312" w:cs="仿宋_GB2312"/>
          <w:color w:val="auto"/>
          <w:sz w:val="32"/>
          <w:szCs w:val="32"/>
          <w:highlight w:val="none"/>
          <w:lang w:val="en-US" w:eastAsia="zh-CN"/>
        </w:rPr>
        <w:t>主阵地作用和企业市场主体作用。聚焦强链补链延链，梳理各产业细分领域与关键环节，构建以领军企业、骨干企业、高成长性中小微企业为主体的优质企业梯队。通过精准性靶向式招商与内生性培育并举，加速产业资源集聚，推动大中小企业融通创新、协同发展。高标准建设</w:t>
      </w:r>
      <w:r>
        <w:rPr>
          <w:rFonts w:hint="eastAsia" w:cs="仿宋_GB2312"/>
          <w:color w:val="auto"/>
          <w:sz w:val="32"/>
          <w:szCs w:val="32"/>
          <w:highlight w:val="none"/>
          <w:lang w:val="en-US" w:eastAsia="zh-CN"/>
        </w:rPr>
        <w:t>重点产业载体</w:t>
      </w:r>
      <w:r>
        <w:rPr>
          <w:rFonts w:hint="eastAsia" w:ascii="仿宋_GB2312" w:hAnsi="仿宋_GB2312" w:eastAsia="仿宋_GB2312" w:cs="仿宋_GB2312"/>
          <w:color w:val="auto"/>
          <w:sz w:val="32"/>
          <w:szCs w:val="32"/>
          <w:highlight w:val="none"/>
          <w:lang w:val="en-US" w:eastAsia="zh-CN"/>
        </w:rPr>
        <w:t>，全力推动产业集聚，壮大产业集群规模。“十五五”时期，力争培育2</w:t>
      </w:r>
      <w:r>
        <w:rPr>
          <w:rFonts w:hint="eastAsia"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4个链条完整、梯队清晰、竞争力强的百亿级产业集群。</w:t>
      </w:r>
    </w:p>
    <w:p w14:paraId="3EB246E6">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0" w:firstLineChars="0"/>
        <w:jc w:val="center"/>
        <w:textAlignment w:val="auto"/>
        <w:outlineLvl w:val="2"/>
        <w:rPr>
          <w:rFonts w:hint="default" w:ascii="楷体_GB2312" w:hAnsi="楷体_GB2312" w:eastAsia="楷体_GB2312" w:cs="楷体_GB2312"/>
          <w:b w:val="0"/>
          <w:bCs w:val="0"/>
          <w:color w:val="auto"/>
          <w:spacing w:val="0"/>
          <w:kern w:val="2"/>
          <w:sz w:val="28"/>
          <w:szCs w:val="28"/>
          <w:highlight w:val="none"/>
          <w:lang w:val="en-US" w:eastAsia="zh-CN"/>
        </w:rPr>
      </w:pPr>
      <w:bookmarkStart w:id="92" w:name="_Toc21713"/>
      <w:r>
        <w:rPr>
          <w:rFonts w:hint="eastAsia" w:ascii="楷体_GB2312" w:hAnsi="楷体_GB2312" w:eastAsia="楷体_GB2312" w:cs="楷体_GB2312"/>
          <w:b w:val="0"/>
          <w:bCs w:val="0"/>
          <w:color w:val="auto"/>
          <w:spacing w:val="0"/>
          <w:kern w:val="2"/>
          <w:sz w:val="28"/>
          <w:szCs w:val="28"/>
          <w:highlight w:val="none"/>
          <w:lang w:val="en-US" w:eastAsia="zh-CN"/>
        </w:rPr>
        <w:t>专栏3  重点发展产业集群</w:t>
      </w:r>
      <w:bookmarkEnd w:id="92"/>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23BD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Borders>
              <w:left w:val="nil"/>
              <w:right w:val="nil"/>
            </w:tcBorders>
          </w:tcPr>
          <w:p w14:paraId="1EBF1D1D">
            <w:pPr>
              <w:keepNext w:val="0"/>
              <w:keepLines w:val="0"/>
              <w:pageBreakBefore w:val="0"/>
              <w:widowControl w:val="0"/>
              <w:shd w:val="clear"/>
              <w:kinsoku/>
              <w:wordWrap/>
              <w:overflowPunct w:val="0"/>
              <w:topLinePunct w:val="0"/>
              <w:autoSpaceDE/>
              <w:autoSpaceDN/>
              <w:bidi w:val="0"/>
              <w:adjustRightInd/>
              <w:snapToGrid/>
              <w:spacing w:line="480" w:lineRule="exact"/>
              <w:ind w:firstLine="560"/>
              <w:jc w:val="both"/>
              <w:textAlignment w:val="auto"/>
              <w:outlineLvl w:val="9"/>
              <w:rPr>
                <w:rFonts w:hint="eastAsia" w:ascii="楷体_GB2312" w:hAnsi="楷体_GB2312" w:eastAsia="楷体_GB2312" w:cs="楷体_GB2312"/>
                <w:color w:val="auto"/>
                <w:kern w:val="2"/>
                <w:sz w:val="28"/>
                <w:szCs w:val="28"/>
                <w:highlight w:val="none"/>
                <w:u w:val="none" w:color="auto"/>
                <w:vertAlign w:val="baseline"/>
                <w:lang w:val="en-US" w:eastAsia="zh-CN"/>
              </w:rPr>
            </w:pPr>
            <w:r>
              <w:rPr>
                <w:rFonts w:hint="eastAsia" w:ascii="楷体_GB2312" w:hAnsi="楷体_GB2312" w:eastAsia="楷体_GB2312" w:cs="楷体_GB2312"/>
                <w:b/>
                <w:bCs/>
                <w:color w:val="auto"/>
                <w:kern w:val="2"/>
                <w:sz w:val="28"/>
                <w:szCs w:val="28"/>
                <w:highlight w:val="none"/>
                <w:u w:val="none" w:color="auto"/>
                <w:vertAlign w:val="baseline"/>
                <w:lang w:val="en-US" w:eastAsia="zh-CN"/>
              </w:rPr>
              <w:t>1.食品饮料与特殊食品产业集群：</w:t>
            </w:r>
            <w:r>
              <w:rPr>
                <w:rFonts w:hint="eastAsia" w:ascii="楷体_GB2312" w:hAnsi="楷体_GB2312" w:eastAsia="楷体_GB2312" w:cs="楷体_GB2312"/>
                <w:color w:val="auto"/>
                <w:kern w:val="2"/>
                <w:sz w:val="28"/>
                <w:szCs w:val="28"/>
                <w:highlight w:val="none"/>
                <w:u w:val="none" w:color="auto"/>
                <w:vertAlign w:val="baseline"/>
                <w:lang w:val="en-US" w:eastAsia="zh-CN"/>
              </w:rPr>
              <w:t>主要建设中国（济南）特殊食品城、济北食品饮料产业园、休闲食品创新中心等。</w:t>
            </w:r>
          </w:p>
          <w:p w14:paraId="3F81AA3B">
            <w:pPr>
              <w:keepNext w:val="0"/>
              <w:keepLines w:val="0"/>
              <w:pageBreakBefore w:val="0"/>
              <w:widowControl w:val="0"/>
              <w:shd w:val="clear"/>
              <w:kinsoku/>
              <w:wordWrap/>
              <w:overflowPunct w:val="0"/>
              <w:topLinePunct w:val="0"/>
              <w:autoSpaceDE/>
              <w:autoSpaceDN/>
              <w:bidi w:val="0"/>
              <w:adjustRightInd/>
              <w:snapToGrid/>
              <w:spacing w:line="480" w:lineRule="exact"/>
              <w:ind w:firstLine="560"/>
              <w:jc w:val="both"/>
              <w:textAlignment w:val="auto"/>
              <w:outlineLvl w:val="9"/>
              <w:rPr>
                <w:rFonts w:hint="eastAsia" w:ascii="楷体_GB2312" w:hAnsi="楷体_GB2312" w:eastAsia="楷体_GB2312" w:cs="楷体_GB2312"/>
                <w:color w:val="auto"/>
                <w:kern w:val="2"/>
                <w:sz w:val="28"/>
                <w:szCs w:val="28"/>
                <w:highlight w:val="none"/>
                <w:u w:val="none" w:color="auto"/>
                <w:vertAlign w:val="baseline"/>
                <w:lang w:val="en-US" w:eastAsia="zh-CN"/>
              </w:rPr>
            </w:pPr>
            <w:r>
              <w:rPr>
                <w:rFonts w:hint="eastAsia" w:ascii="楷体_GB2312" w:hAnsi="楷体_GB2312" w:eastAsia="楷体_GB2312" w:cs="楷体_GB2312"/>
                <w:b/>
                <w:bCs/>
                <w:color w:val="auto"/>
                <w:kern w:val="2"/>
                <w:sz w:val="28"/>
                <w:szCs w:val="28"/>
                <w:highlight w:val="none"/>
                <w:u w:val="none" w:color="auto"/>
                <w:vertAlign w:val="baseline"/>
                <w:lang w:val="en-US" w:eastAsia="zh-CN"/>
              </w:rPr>
              <w:t>2.新能源汽车零部件产业集群：</w:t>
            </w:r>
            <w:r>
              <w:rPr>
                <w:rFonts w:hint="eastAsia" w:ascii="楷体_GB2312" w:hAnsi="楷体_GB2312" w:eastAsia="楷体_GB2312" w:cs="楷体_GB2312"/>
                <w:color w:val="auto"/>
                <w:kern w:val="2"/>
                <w:sz w:val="28"/>
                <w:szCs w:val="28"/>
                <w:highlight w:val="none"/>
                <w:u w:val="none" w:color="auto"/>
                <w:vertAlign w:val="baseline"/>
                <w:lang w:val="en-US" w:eastAsia="zh-CN"/>
              </w:rPr>
              <w:t>主要建设新能源汽车配套零部件产业园、新能源汽车生产基地等。</w:t>
            </w:r>
          </w:p>
          <w:p w14:paraId="31EC6B0C">
            <w:pPr>
              <w:keepNext w:val="0"/>
              <w:keepLines w:val="0"/>
              <w:pageBreakBefore w:val="0"/>
              <w:widowControl w:val="0"/>
              <w:shd w:val="clear"/>
              <w:kinsoku/>
              <w:wordWrap/>
              <w:overflowPunct w:val="0"/>
              <w:topLinePunct w:val="0"/>
              <w:autoSpaceDE/>
              <w:autoSpaceDN/>
              <w:bidi w:val="0"/>
              <w:adjustRightInd/>
              <w:snapToGrid/>
              <w:spacing w:line="480" w:lineRule="exact"/>
              <w:ind w:firstLine="560"/>
              <w:jc w:val="both"/>
              <w:textAlignment w:val="auto"/>
              <w:outlineLvl w:val="9"/>
              <w:rPr>
                <w:rFonts w:hint="eastAsia" w:ascii="楷体_GB2312" w:hAnsi="楷体_GB2312" w:eastAsia="楷体_GB2312" w:cs="楷体_GB2312"/>
                <w:color w:val="auto"/>
                <w:kern w:val="2"/>
                <w:sz w:val="28"/>
                <w:szCs w:val="28"/>
                <w:highlight w:val="none"/>
                <w:u w:val="none" w:color="auto"/>
                <w:vertAlign w:val="baseline"/>
                <w:lang w:val="en-US" w:eastAsia="zh-CN"/>
              </w:rPr>
            </w:pPr>
            <w:r>
              <w:rPr>
                <w:rFonts w:hint="eastAsia" w:ascii="楷体_GB2312" w:hAnsi="楷体_GB2312" w:eastAsia="楷体_GB2312" w:cs="楷体_GB2312"/>
                <w:b/>
                <w:bCs/>
                <w:color w:val="auto"/>
                <w:kern w:val="2"/>
                <w:sz w:val="28"/>
                <w:szCs w:val="28"/>
                <w:highlight w:val="none"/>
                <w:u w:val="none" w:color="auto"/>
                <w:vertAlign w:val="baseline"/>
                <w:lang w:val="en-US" w:eastAsia="zh-CN"/>
              </w:rPr>
              <w:t>3.生物医药与医疗器械产业集群：</w:t>
            </w:r>
            <w:r>
              <w:rPr>
                <w:rFonts w:hint="eastAsia" w:ascii="楷体_GB2312" w:hAnsi="楷体_GB2312" w:eastAsia="楷体_GB2312" w:cs="楷体_GB2312"/>
                <w:color w:val="auto"/>
                <w:kern w:val="2"/>
                <w:sz w:val="28"/>
                <w:szCs w:val="28"/>
                <w:highlight w:val="none"/>
                <w:u w:val="none" w:color="auto"/>
                <w:vertAlign w:val="baseline"/>
                <w:lang w:val="en-US" w:eastAsia="zh-CN"/>
              </w:rPr>
              <w:t>主要建设中药制剂产业园、济北生命科技园等。</w:t>
            </w:r>
          </w:p>
          <w:p w14:paraId="159BD234">
            <w:pPr>
              <w:keepNext w:val="0"/>
              <w:keepLines w:val="0"/>
              <w:pageBreakBefore w:val="0"/>
              <w:widowControl w:val="0"/>
              <w:shd w:val="clear"/>
              <w:kinsoku/>
              <w:wordWrap/>
              <w:overflowPunct w:val="0"/>
              <w:topLinePunct w:val="0"/>
              <w:autoSpaceDE/>
              <w:autoSpaceDN/>
              <w:bidi w:val="0"/>
              <w:adjustRightInd/>
              <w:snapToGrid/>
              <w:spacing w:line="480" w:lineRule="exact"/>
              <w:ind w:firstLine="560"/>
              <w:jc w:val="both"/>
              <w:textAlignment w:val="auto"/>
              <w:outlineLvl w:val="9"/>
              <w:rPr>
                <w:rFonts w:hint="eastAsia" w:ascii="楷体_GB2312" w:hAnsi="楷体_GB2312" w:eastAsia="楷体_GB2312" w:cs="楷体_GB2312"/>
                <w:color w:val="auto"/>
                <w:sz w:val="28"/>
                <w:szCs w:val="28"/>
                <w:highlight w:val="none"/>
                <w:vertAlign w:val="baseline"/>
                <w:lang w:val="en-US" w:eastAsia="zh-CN"/>
              </w:rPr>
            </w:pPr>
            <w:r>
              <w:rPr>
                <w:rFonts w:hint="eastAsia" w:ascii="楷体_GB2312" w:hAnsi="楷体_GB2312" w:eastAsia="楷体_GB2312" w:cs="楷体_GB2312"/>
                <w:b/>
                <w:bCs/>
                <w:color w:val="auto"/>
                <w:kern w:val="2"/>
                <w:sz w:val="28"/>
                <w:szCs w:val="28"/>
                <w:highlight w:val="none"/>
                <w:u w:val="none" w:color="auto"/>
                <w:vertAlign w:val="baseline"/>
                <w:lang w:val="en-US" w:eastAsia="zh-CN"/>
              </w:rPr>
              <w:t>4.智能装备制造产业集群：</w:t>
            </w:r>
            <w:r>
              <w:rPr>
                <w:rFonts w:hint="eastAsia" w:ascii="楷体_GB2312" w:hAnsi="楷体_GB2312" w:eastAsia="楷体_GB2312" w:cs="楷体_GB2312"/>
                <w:color w:val="auto"/>
                <w:kern w:val="2"/>
                <w:sz w:val="28"/>
                <w:szCs w:val="28"/>
                <w:highlight w:val="none"/>
                <w:u w:val="none" w:color="auto"/>
                <w:vertAlign w:val="baseline"/>
                <w:lang w:val="en-US" w:eastAsia="zh-CN"/>
              </w:rPr>
              <w:t>主要建设专用装备制造基地、激光装备产业园、高端数控机床产业园、工业机器人生产基地等。</w:t>
            </w:r>
          </w:p>
        </w:tc>
      </w:tr>
    </w:tbl>
    <w:p w14:paraId="1E4C458F">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93" w:name="_Toc14839"/>
      <w:bookmarkStart w:id="94" w:name="_Toc13641"/>
      <w:r>
        <w:rPr>
          <w:rFonts w:hint="eastAsia" w:ascii="黑体" w:hAnsi="黑体" w:eastAsia="黑体" w:cs="黑体"/>
          <w:color w:val="auto"/>
          <w:highlight w:val="none"/>
          <w:lang w:val="en-US" w:eastAsia="zh-CN"/>
        </w:rPr>
        <w:t>三、加快发展现代服务业</w:t>
      </w:r>
      <w:bookmarkEnd w:id="86"/>
      <w:bookmarkEnd w:id="87"/>
      <w:bookmarkEnd w:id="88"/>
      <w:bookmarkEnd w:id="89"/>
      <w:bookmarkEnd w:id="90"/>
      <w:bookmarkEnd w:id="91"/>
      <w:bookmarkEnd w:id="93"/>
      <w:bookmarkEnd w:id="94"/>
    </w:p>
    <w:p w14:paraId="3396972D">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auto"/>
          <w:spacing w:val="0"/>
          <w:kern w:val="2"/>
          <w:szCs w:val="32"/>
          <w:highlight w:val="none"/>
        </w:rPr>
      </w:pPr>
      <w:r>
        <w:rPr>
          <w:rFonts w:hint="eastAsia" w:ascii="仿宋_GB2312" w:hAnsi="仿宋_GB2312" w:eastAsia="仿宋_GB2312" w:cs="仿宋_GB2312"/>
          <w:color w:val="auto"/>
          <w:spacing w:val="0"/>
          <w:kern w:val="2"/>
          <w:szCs w:val="32"/>
          <w:highlight w:val="none"/>
        </w:rPr>
        <w:t>坚持与创新驱动发展相适应、与制造业发展相融合、与城市发展相配套，推动生产性服务业向专业化高端化转型、生活性服务业向品质化多元化升级，聚力打造现代服务业集聚区，显著提高服务供给质量。</w:t>
      </w:r>
    </w:p>
    <w:p w14:paraId="7037E50A">
      <w:pPr>
        <w:keepNext w:val="0"/>
        <w:keepLines w:val="0"/>
        <w:pageBreakBefore w:val="0"/>
        <w:widowControl w:val="0"/>
        <w:suppressLineNumbers w:val="0"/>
        <w:shd w:val="clear"/>
        <w:kinsoku/>
        <w:wordWrap/>
        <w:overflowPunct w:val="0"/>
        <w:topLinePunct w:val="0"/>
        <w:autoSpaceDE/>
        <w:autoSpaceDN/>
        <w:bidi w:val="0"/>
        <w:adjustRightInd/>
        <w:snapToGrid/>
        <w:spacing w:afterAutospacing="0" w:line="600" w:lineRule="exact"/>
        <w:ind w:left="0" w:leftChars="0" w:firstLine="640" w:firstLineChars="200"/>
        <w:jc w:val="both"/>
        <w:textAlignment w:val="auto"/>
        <w:outlineLvl w:val="9"/>
        <w:rPr>
          <w:rFonts w:hint="default" w:ascii="仿宋_GB2312" w:hAnsi="仿宋_GB2312" w:eastAsia="仿宋_GB2312" w:cs="仿宋_GB2312"/>
          <w:b w:val="0"/>
          <w:bCs w:val="0"/>
          <w:color w:val="auto"/>
          <w:kern w:val="0"/>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（一）推进生产性服务业向专业化和价值链高端延伸。</w:t>
      </w:r>
      <w:r>
        <w:rPr>
          <w:rFonts w:ascii="Times New Roman" w:hAnsi="Times New Roman" w:eastAsia="仿宋_GB2312" w:cs="Times New Roman"/>
          <w:color w:val="auto"/>
          <w:sz w:val="32"/>
          <w:szCs w:val="32"/>
          <w:highlight w:val="none"/>
        </w:rPr>
        <w:t>顺应制造业和服务业深度融合发展趋势</w:t>
      </w:r>
      <w:r>
        <w:rPr>
          <w:rFonts w:hint="eastAsia" w:ascii="楷体_GB2312" w:hAnsi="楷体_GB2312" w:eastAsia="楷体_GB2312" w:cs="楷体_GB2312"/>
          <w:color w:val="auto"/>
          <w:sz w:val="32"/>
          <w:szCs w:val="32"/>
          <w:highlight w:val="none"/>
          <w:lang w:val="en-US" w:eastAsia="zh-CN"/>
        </w:rPr>
        <w:t>，</w:t>
      </w:r>
      <w:r>
        <w:rPr>
          <w:rFonts w:hint="eastAsia" w:ascii="仿宋_GB2312" w:cs="仿宋_GB2312"/>
          <w:color w:val="auto"/>
          <w:highlight w:val="none"/>
        </w:rPr>
        <w:t>加快发展</w:t>
      </w:r>
      <w:r>
        <w:rPr>
          <w:rFonts w:hint="eastAsia" w:ascii="仿宋_GB2312" w:hAnsi="仿宋_GB2312" w:eastAsia="仿宋_GB2312" w:cs="仿宋_GB2312"/>
          <w:b w:val="0"/>
          <w:bCs w:val="0"/>
          <w:i w:val="0"/>
          <w:iCs w:val="0"/>
          <w:caps w:val="0"/>
          <w:color w:val="auto"/>
          <w:spacing w:val="0"/>
          <w:sz w:val="32"/>
          <w:szCs w:val="32"/>
          <w:highlight w:val="none"/>
          <w:shd w:val="clear" w:fill="FFFFFF"/>
          <w:lang w:val="en-US" w:eastAsia="zh-CN"/>
        </w:rPr>
        <w:t>软件和信息技术</w:t>
      </w:r>
      <w:r>
        <w:rPr>
          <w:rFonts w:hint="eastAsia" w:cs="仿宋_GB2312"/>
          <w:b w:val="0"/>
          <w:bCs w:val="0"/>
          <w:i w:val="0"/>
          <w:iCs w:val="0"/>
          <w:caps w:val="0"/>
          <w:color w:val="auto"/>
          <w:spacing w:val="0"/>
          <w:sz w:val="32"/>
          <w:szCs w:val="32"/>
          <w:highlight w:val="none"/>
          <w:shd w:val="clear" w:fill="FFFFFF"/>
          <w:lang w:val="en-US" w:eastAsia="zh-CN"/>
        </w:rPr>
        <w:t>服务</w:t>
      </w:r>
      <w:r>
        <w:rPr>
          <w:rFonts w:hint="eastAsia" w:ascii="仿宋_GB2312" w:cs="仿宋_GB2312"/>
          <w:color w:val="auto"/>
          <w:highlight w:val="none"/>
        </w:rPr>
        <w:t>、</w:t>
      </w:r>
      <w:r>
        <w:rPr>
          <w:rFonts w:hint="eastAsia" w:cs="仿宋_GB2312"/>
          <w:color w:val="auto"/>
          <w:highlight w:val="none"/>
          <w:lang w:val="en-US" w:eastAsia="zh-CN"/>
        </w:rPr>
        <w:t>现代金融、</w:t>
      </w:r>
      <w:r>
        <w:rPr>
          <w:rFonts w:hint="eastAsia" w:ascii="仿宋_GB2312" w:cs="仿宋_GB2312"/>
          <w:color w:val="auto"/>
          <w:highlight w:val="none"/>
        </w:rPr>
        <w:t>现代物流、商务服务、科技服务等产业，构建优势突出、特色鲜明、协同创新的生产性服务业体系</w:t>
      </w:r>
      <w:r>
        <w:rPr>
          <w:rFonts w:hint="eastAsia" w:ascii="仿宋_GB2312" w:hAnsi="仿宋_GB2312" w:eastAsia="仿宋_GB2312" w:cs="仿宋_GB2312"/>
          <w:i w:val="0"/>
          <w:iCs w:val="0"/>
          <w:caps w:val="0"/>
          <w:color w:val="auto"/>
          <w:spacing w:val="0"/>
          <w:sz w:val="32"/>
          <w:szCs w:val="32"/>
          <w:highlight w:val="none"/>
          <w:shd w:val="clear" w:fill="FFFFFF"/>
        </w:rPr>
        <w:t>。</w:t>
      </w:r>
      <w:r>
        <w:rPr>
          <w:rFonts w:hint="eastAsia" w:ascii="仿宋_GB2312" w:hAnsi="仿宋_GB2312" w:eastAsia="仿宋_GB2312" w:cs="仿宋_GB2312"/>
          <w:b/>
          <w:bCs/>
          <w:i w:val="0"/>
          <w:iCs w:val="0"/>
          <w:caps w:val="0"/>
          <w:color w:val="auto"/>
          <w:spacing w:val="0"/>
          <w:sz w:val="32"/>
          <w:szCs w:val="32"/>
          <w:highlight w:val="none"/>
          <w:shd w:val="clear" w:fill="FFFFFF"/>
          <w:lang w:val="en-US" w:eastAsia="zh-CN"/>
        </w:rPr>
        <w:t>软件和信息技术服务。</w:t>
      </w:r>
      <w:r>
        <w:rPr>
          <w:rFonts w:hint="eastAsia" w:ascii="仿宋_GB2312" w:hAnsi="仿宋_GB2312" w:eastAsia="仿宋_GB2312" w:cs="仿宋_GB2312"/>
          <w:b w:val="0"/>
          <w:bCs w:val="0"/>
          <w:color w:val="auto"/>
          <w:sz w:val="32"/>
          <w:szCs w:val="32"/>
          <w:highlight w:val="none"/>
          <w:lang w:val="en-US" w:eastAsia="zh-CN"/>
        </w:rPr>
        <w:t>以大数据与人工智能技术为核心驱动，聚焦信息系统集成、呼叫中心及数字服务等重点业态，实施“融合赋能、提质增效”计划。推动人工智能技术在集成系统运维、智慧客服等环节的深度融合与应用。着力发展面向现代农业的AI解决方案，加快智慧农业技术研发，赋能育种、种植、加工全链条。深化AI在金融、物流、商务等现代服务业的创新应用，</w:t>
      </w:r>
      <w:r>
        <w:rPr>
          <w:rFonts w:hint="eastAsia" w:cs="仿宋_GB2312"/>
          <w:b w:val="0"/>
          <w:bCs w:val="0"/>
          <w:color w:val="auto"/>
          <w:sz w:val="32"/>
          <w:szCs w:val="32"/>
          <w:highlight w:val="none"/>
          <w:lang w:val="en-US" w:eastAsia="zh-CN"/>
        </w:rPr>
        <w:t>力争</w:t>
      </w:r>
      <w:r>
        <w:rPr>
          <w:rFonts w:hint="eastAsia" w:ascii="仿宋_GB2312" w:hAnsi="仿宋_GB2312" w:eastAsia="仿宋_GB2312" w:cs="仿宋_GB2312"/>
          <w:b w:val="0"/>
          <w:bCs w:val="0"/>
          <w:color w:val="auto"/>
          <w:sz w:val="32"/>
          <w:szCs w:val="32"/>
          <w:highlight w:val="none"/>
          <w:lang w:val="en-US" w:eastAsia="zh-CN"/>
        </w:rPr>
        <w:t>培植一批掌握核心算法、拥有自主知识产权的人工智能企业与软件服务商。以达沃智慧产业园等载体为核心，升级建设人工智能平台与创新创业孵化功能，构建“技术研发</w:t>
      </w:r>
      <w:r>
        <w:rPr>
          <w:rFonts w:hint="eastAsia"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场景验证</w:t>
      </w:r>
      <w:r>
        <w:rPr>
          <w:rFonts w:hint="eastAsia"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产业落地”的全链条服务</w:t>
      </w:r>
      <w:r>
        <w:rPr>
          <w:rFonts w:hint="eastAsia" w:cs="仿宋_GB2312"/>
          <w:b w:val="0"/>
          <w:bCs w:val="0"/>
          <w:color w:val="auto"/>
          <w:sz w:val="32"/>
          <w:szCs w:val="32"/>
          <w:highlight w:val="none"/>
          <w:lang w:val="en-US" w:eastAsia="zh-CN"/>
        </w:rPr>
        <w:t>体系</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bCs/>
          <w:i w:val="0"/>
          <w:iCs w:val="0"/>
          <w:caps w:val="0"/>
          <w:color w:val="auto"/>
          <w:spacing w:val="0"/>
          <w:sz w:val="32"/>
          <w:szCs w:val="32"/>
          <w:highlight w:val="none"/>
          <w:shd w:val="clear" w:fill="FFFFFF"/>
          <w:lang w:val="en-US" w:eastAsia="zh-CN"/>
        </w:rPr>
        <w:t>现代金融。</w:t>
      </w:r>
      <w:r>
        <w:rPr>
          <w:rFonts w:hint="eastAsia" w:ascii="仿宋_GB2312" w:hAnsi="仿宋_GB2312" w:eastAsia="仿宋_GB2312" w:cs="仿宋_GB2312"/>
          <w:b w:val="0"/>
          <w:bCs w:val="0"/>
          <w:color w:val="auto"/>
          <w:spacing w:val="0"/>
          <w:kern w:val="0"/>
          <w:sz w:val="32"/>
          <w:szCs w:val="32"/>
          <w:highlight w:val="none"/>
          <w:lang w:val="en-US" w:eastAsia="zh-CN" w:bidi="ar-SA"/>
        </w:rPr>
        <w:t>完善金融服务体系，积极打造金融特色街区、科创金融服务基地等项目</w:t>
      </w:r>
      <w:r>
        <w:rPr>
          <w:rFonts w:hint="eastAsia" w:ascii="仿宋_GB2312" w:hAnsi="仿宋_GB2312" w:eastAsia="仿宋_GB2312" w:cs="仿宋_GB2312"/>
          <w:i w:val="0"/>
          <w:iCs w:val="0"/>
          <w:caps w:val="0"/>
          <w:color w:val="auto"/>
          <w:spacing w:val="0"/>
          <w:sz w:val="32"/>
          <w:szCs w:val="32"/>
          <w:highlight w:val="none"/>
          <w:shd w:val="clear" w:fill="FFFFFF"/>
        </w:rPr>
        <w:t>，</w:t>
      </w:r>
      <w:r>
        <w:rPr>
          <w:rStyle w:val="21"/>
          <w:rFonts w:hint="eastAsia" w:ascii="仿宋_GB2312" w:hAnsi="仿宋_GB2312" w:eastAsia="仿宋_GB2312" w:cs="仿宋_GB2312"/>
          <w:b w:val="0"/>
          <w:bCs w:val="0"/>
          <w:i w:val="0"/>
          <w:iCs w:val="0"/>
          <w:caps w:val="0"/>
          <w:strike w:val="0"/>
          <w:color w:val="auto"/>
          <w:spacing w:val="0"/>
          <w:sz w:val="32"/>
          <w:szCs w:val="32"/>
          <w:highlight w:val="none"/>
          <w:u w:val="none"/>
          <w:shd w:val="clear" w:fill="FFFFFF"/>
          <w:lang w:val="en-US" w:eastAsia="zh-CN"/>
        </w:rPr>
        <w:t>加快招引优质券商设立营业部</w:t>
      </w:r>
      <w:r>
        <w:rPr>
          <w:rFonts w:hint="eastAsia" w:ascii="仿宋_GB2312" w:hAnsi="仿宋_GB2312" w:eastAsia="仿宋_GB2312" w:cs="仿宋_GB2312"/>
          <w:i w:val="0"/>
          <w:iCs w:val="0"/>
          <w:caps w:val="0"/>
          <w:color w:val="auto"/>
          <w:spacing w:val="0"/>
          <w:sz w:val="32"/>
          <w:szCs w:val="32"/>
          <w:highlight w:val="none"/>
          <w:shd w:val="clear" w:fill="FFFFFF"/>
        </w:rPr>
        <w:t>，积极引进期货、基金等机构，填补证券服务缺口</w:t>
      </w:r>
      <w:r>
        <w:rPr>
          <w:rFonts w:hint="eastAsia" w:cs="仿宋_GB2312"/>
          <w:i w:val="0"/>
          <w:iCs w:val="0"/>
          <w:caps w:val="0"/>
          <w:color w:val="auto"/>
          <w:spacing w:val="0"/>
          <w:sz w:val="32"/>
          <w:szCs w:val="32"/>
          <w:highlight w:val="none"/>
          <w:shd w:val="clear" w:fill="FFFFFF"/>
          <w:lang w:eastAsia="zh-CN"/>
        </w:rPr>
        <w:t>，</w:t>
      </w:r>
      <w:r>
        <w:rPr>
          <w:rStyle w:val="21"/>
          <w:rFonts w:hint="eastAsia" w:ascii="仿宋_GB2312" w:hAnsi="仿宋_GB2312" w:eastAsia="仿宋_GB2312" w:cs="仿宋_GB2312"/>
          <w:b w:val="0"/>
          <w:bCs w:val="0"/>
          <w:i w:val="0"/>
          <w:iCs w:val="0"/>
          <w:caps w:val="0"/>
          <w:strike w:val="0"/>
          <w:color w:val="auto"/>
          <w:spacing w:val="0"/>
          <w:sz w:val="32"/>
          <w:szCs w:val="32"/>
          <w:highlight w:val="none"/>
          <w:u w:val="none"/>
          <w:shd w:val="clear" w:fill="FFFFFF"/>
          <w:lang w:val="en-US" w:eastAsia="zh-CN"/>
        </w:rPr>
        <w:t>做好金融</w:t>
      </w:r>
      <w:r>
        <w:rPr>
          <w:rStyle w:val="21"/>
          <w:rFonts w:hint="eastAsia" w:cs="仿宋_GB2312"/>
          <w:b w:val="0"/>
          <w:bCs w:val="0"/>
          <w:i w:val="0"/>
          <w:iCs w:val="0"/>
          <w:caps w:val="0"/>
          <w:strike w:val="0"/>
          <w:color w:val="auto"/>
          <w:spacing w:val="0"/>
          <w:sz w:val="32"/>
          <w:szCs w:val="32"/>
          <w:highlight w:val="none"/>
          <w:u w:val="none"/>
          <w:shd w:val="clear" w:fill="FFFFFF"/>
          <w:lang w:val="en-US" w:eastAsia="zh-CN"/>
        </w:rPr>
        <w:t>“</w:t>
      </w:r>
      <w:r>
        <w:rPr>
          <w:rStyle w:val="21"/>
          <w:rFonts w:hint="eastAsia" w:ascii="仿宋_GB2312" w:hAnsi="仿宋_GB2312" w:eastAsia="仿宋_GB2312" w:cs="仿宋_GB2312"/>
          <w:b w:val="0"/>
          <w:bCs w:val="0"/>
          <w:i w:val="0"/>
          <w:iCs w:val="0"/>
          <w:caps w:val="0"/>
          <w:strike w:val="0"/>
          <w:color w:val="auto"/>
          <w:spacing w:val="0"/>
          <w:sz w:val="32"/>
          <w:szCs w:val="32"/>
          <w:highlight w:val="none"/>
          <w:u w:val="none"/>
          <w:shd w:val="clear" w:fill="FFFFFF"/>
          <w:lang w:val="en-US" w:eastAsia="zh-CN"/>
        </w:rPr>
        <w:t>五篇大文章</w:t>
      </w:r>
      <w:r>
        <w:rPr>
          <w:rStyle w:val="21"/>
          <w:rFonts w:hint="eastAsia" w:cs="仿宋_GB2312"/>
          <w:b w:val="0"/>
          <w:bCs w:val="0"/>
          <w:i w:val="0"/>
          <w:iCs w:val="0"/>
          <w:caps w:val="0"/>
          <w:strike w:val="0"/>
          <w:color w:val="auto"/>
          <w:spacing w:val="0"/>
          <w:sz w:val="32"/>
          <w:szCs w:val="32"/>
          <w:highlight w:val="none"/>
          <w:u w:val="none"/>
          <w:shd w:val="clear" w:fill="FFFFFF"/>
          <w:lang w:val="en-US" w:eastAsia="zh-CN"/>
        </w:rPr>
        <w:t>”</w:t>
      </w:r>
      <w:r>
        <w:rPr>
          <w:rStyle w:val="21"/>
          <w:rFonts w:hint="eastAsia" w:ascii="仿宋_GB2312" w:hAnsi="仿宋_GB2312" w:eastAsia="仿宋_GB2312" w:cs="仿宋_GB2312"/>
          <w:b w:val="0"/>
          <w:bCs w:val="0"/>
          <w:i w:val="0"/>
          <w:iCs w:val="0"/>
          <w:caps w:val="0"/>
          <w:strike w:val="0"/>
          <w:color w:val="auto"/>
          <w:spacing w:val="0"/>
          <w:sz w:val="32"/>
          <w:szCs w:val="32"/>
          <w:highlight w:val="none"/>
          <w:u w:val="none"/>
          <w:shd w:val="clear" w:fill="FFFFFF"/>
          <w:lang w:val="en-US" w:eastAsia="zh-CN"/>
        </w:rPr>
        <w:t>，重点发展科创金融、跨境金融等特色领域</w:t>
      </w:r>
      <w:r>
        <w:rPr>
          <w:rFonts w:hint="eastAsia" w:ascii="仿宋_GB2312" w:hAnsi="仿宋_GB2312" w:eastAsia="仿宋_GB2312" w:cs="仿宋_GB2312"/>
          <w:i w:val="0"/>
          <w:iCs w:val="0"/>
          <w:caps w:val="0"/>
          <w:color w:val="auto"/>
          <w:spacing w:val="0"/>
          <w:sz w:val="32"/>
          <w:szCs w:val="32"/>
          <w:highlight w:val="none"/>
          <w:shd w:val="clear" w:fill="FFFFFF"/>
        </w:rPr>
        <w:t>。</w:t>
      </w:r>
      <w:r>
        <w:rPr>
          <w:rFonts w:hint="eastAsia" w:ascii="仿宋_GB2312" w:hAnsi="仿宋_GB2312" w:eastAsia="仿宋_GB2312" w:cs="仿宋_GB2312"/>
          <w:b/>
          <w:bCs/>
          <w:i w:val="0"/>
          <w:iCs w:val="0"/>
          <w:caps w:val="0"/>
          <w:color w:val="auto"/>
          <w:spacing w:val="0"/>
          <w:sz w:val="32"/>
          <w:szCs w:val="32"/>
          <w:highlight w:val="none"/>
          <w:shd w:val="clear" w:fill="FFFFFF"/>
          <w:lang w:val="en-US" w:eastAsia="zh-CN"/>
        </w:rPr>
        <w:t>现代物流。</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加快建设</w:t>
      </w:r>
      <w:r>
        <w:rPr>
          <w:rFonts w:hint="eastAsia" w:cs="仿宋_GB2312"/>
          <w:i w:val="0"/>
          <w:iCs w:val="0"/>
          <w:caps w:val="0"/>
          <w:color w:val="auto"/>
          <w:spacing w:val="0"/>
          <w:sz w:val="32"/>
          <w:szCs w:val="32"/>
          <w:highlight w:val="none"/>
          <w:shd w:val="clear" w:fill="FFFFFF"/>
          <w:lang w:val="en-US" w:eastAsia="zh-CN"/>
        </w:rPr>
        <w:t>济阳</w:t>
      </w:r>
      <w:r>
        <w:rPr>
          <w:rFonts w:hint="eastAsia" w:eastAsia="仿宋_GB2312" w:cs="仿宋_GB2312"/>
          <w:i w:val="0"/>
          <w:iCs w:val="0"/>
          <w:caps w:val="0"/>
          <w:color w:val="auto"/>
          <w:spacing w:val="0"/>
          <w:sz w:val="32"/>
          <w:szCs w:val="32"/>
          <w:highlight w:val="none"/>
          <w:shd w:val="clear" w:fill="FFFFFF"/>
          <w:lang w:val="en-US" w:eastAsia="zh-CN"/>
        </w:rPr>
        <w:t>区</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综合物流园，以</w:t>
      </w:r>
      <w:r>
        <w:rPr>
          <w:rFonts w:hint="eastAsia" w:cs="仿宋_GB2312"/>
          <w:i w:val="0"/>
          <w:iCs w:val="0"/>
          <w:caps w:val="0"/>
          <w:color w:val="auto"/>
          <w:spacing w:val="0"/>
          <w:sz w:val="32"/>
          <w:szCs w:val="32"/>
          <w:highlight w:val="none"/>
          <w:shd w:val="clear" w:fill="FFFFFF"/>
          <w:lang w:val="en-US" w:eastAsia="zh-CN"/>
        </w:rPr>
        <w:t>全区重点</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物流企业为核心，辐射</w:t>
      </w:r>
      <w:r>
        <w:rPr>
          <w:rFonts w:hint="eastAsia" w:cs="仿宋_GB2312"/>
          <w:i w:val="0"/>
          <w:iCs w:val="0"/>
          <w:caps w:val="0"/>
          <w:color w:val="auto"/>
          <w:spacing w:val="0"/>
          <w:sz w:val="32"/>
          <w:szCs w:val="32"/>
          <w:highlight w:val="none"/>
          <w:shd w:val="clear" w:fill="FFFFFF"/>
          <w:lang w:val="en-US" w:eastAsia="zh-CN"/>
        </w:rPr>
        <w:t>周边</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物流集聚区。建立完善一体化的仓储、运输、配送服务的冷链物流体系和以畅联互通、高效协同为基础的现代冷链物流运营体系，加快推进冷链物流发展壮大。</w:t>
      </w:r>
      <w:r>
        <w:rPr>
          <w:rFonts w:hint="eastAsia" w:ascii="仿宋_GB2312" w:hAnsi="仿宋_GB2312" w:eastAsia="仿宋_GB2312" w:cs="仿宋_GB2312"/>
          <w:b/>
          <w:bCs/>
          <w:i w:val="0"/>
          <w:iCs w:val="0"/>
          <w:caps w:val="0"/>
          <w:color w:val="auto"/>
          <w:spacing w:val="0"/>
          <w:sz w:val="32"/>
          <w:szCs w:val="32"/>
          <w:highlight w:val="none"/>
          <w:shd w:val="clear" w:fill="FFFFFF"/>
          <w:lang w:val="en-US" w:eastAsia="zh-CN"/>
        </w:rPr>
        <w:t>商务服务。</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大力发展咨询评估、法律服务、检验检测、会计审计、税务服务、工程设计、人力资源服务等商务服务业，提升商务服务专业化、规模化、规范化水平。培育商务服务</w:t>
      </w:r>
      <w:r>
        <w:rPr>
          <w:rFonts w:hint="eastAsia" w:cs="仿宋_GB2312"/>
          <w:i w:val="0"/>
          <w:iCs w:val="0"/>
          <w:caps w:val="0"/>
          <w:color w:val="auto"/>
          <w:spacing w:val="0"/>
          <w:sz w:val="32"/>
          <w:szCs w:val="32"/>
          <w:highlight w:val="none"/>
          <w:shd w:val="clear" w:fill="FFFFFF"/>
          <w:lang w:val="en-US" w:eastAsia="zh-CN"/>
        </w:rPr>
        <w:t>优质</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企业，积极引进专业服务机构，</w:t>
      </w:r>
      <w:r>
        <w:rPr>
          <w:rFonts w:hint="eastAsia" w:cs="仿宋_GB2312"/>
          <w:i w:val="0"/>
          <w:iCs w:val="0"/>
          <w:caps w:val="0"/>
          <w:color w:val="auto"/>
          <w:spacing w:val="0"/>
          <w:sz w:val="32"/>
          <w:szCs w:val="32"/>
          <w:highlight w:val="none"/>
          <w:shd w:val="clear" w:fill="FFFFFF"/>
          <w:lang w:val="en-US" w:eastAsia="zh-CN"/>
        </w:rPr>
        <w:t>力争</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培育一批商务服务业知名品牌。推进商务服务集聚区建设，积极发展楼宇经济，</w:t>
      </w:r>
      <w:r>
        <w:rPr>
          <w:rFonts w:hint="eastAsia" w:cs="仿宋_GB2312"/>
          <w:i w:val="0"/>
          <w:iCs w:val="0"/>
          <w:caps w:val="0"/>
          <w:color w:val="auto"/>
          <w:spacing w:val="0"/>
          <w:sz w:val="32"/>
          <w:szCs w:val="32"/>
          <w:highlight w:val="none"/>
          <w:shd w:val="clear" w:fill="FFFFFF"/>
          <w:lang w:val="en-US" w:eastAsia="zh-CN"/>
        </w:rPr>
        <w:t>谋划打造</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高端商务服务集聚区。</w:t>
      </w:r>
      <w:r>
        <w:rPr>
          <w:rFonts w:hint="eastAsia" w:cs="仿宋_GB2312"/>
          <w:i w:val="0"/>
          <w:iCs w:val="0"/>
          <w:caps w:val="0"/>
          <w:color w:val="auto"/>
          <w:spacing w:val="0"/>
          <w:sz w:val="32"/>
          <w:szCs w:val="32"/>
          <w:highlight w:val="none"/>
          <w:shd w:val="clear" w:fill="FFFFFF"/>
          <w:lang w:val="en-US" w:eastAsia="zh-CN"/>
        </w:rPr>
        <w:t>依托</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山东艺术设计职业学院资源优势，重点围绕工业设计、数字媒体、文化创意等领域开展人才培养与项目合作</w:t>
      </w:r>
      <w:r>
        <w:rPr>
          <w:rFonts w:hint="eastAsia" w:cs="仿宋_GB2312"/>
          <w:i w:val="0"/>
          <w:iCs w:val="0"/>
          <w:caps w:val="0"/>
          <w:color w:val="auto"/>
          <w:spacing w:val="0"/>
          <w:sz w:val="32"/>
          <w:szCs w:val="32"/>
          <w:highlight w:val="none"/>
          <w:shd w:val="clear" w:fill="FFFFFF"/>
          <w:lang w:val="en-US" w:eastAsia="zh-CN"/>
        </w:rPr>
        <w:t>，</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探索建立“学校培养</w:t>
      </w:r>
      <w:r>
        <w:rPr>
          <w:rFonts w:hint="eastAsia" w:cs="仿宋_GB2312"/>
          <w:i w:val="0"/>
          <w:iCs w:val="0"/>
          <w:caps w:val="0"/>
          <w:color w:val="auto"/>
          <w:spacing w:val="0"/>
          <w:sz w:val="32"/>
          <w:szCs w:val="32"/>
          <w:highlight w:val="none"/>
          <w:shd w:val="clear" w:fill="FFFFFF"/>
          <w:lang w:val="en-US" w:eastAsia="zh-CN"/>
        </w:rPr>
        <w:t>＋</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园区实践</w:t>
      </w:r>
      <w:r>
        <w:rPr>
          <w:rFonts w:hint="eastAsia" w:cs="仿宋_GB2312"/>
          <w:i w:val="0"/>
          <w:iCs w:val="0"/>
          <w:caps w:val="0"/>
          <w:color w:val="auto"/>
          <w:spacing w:val="0"/>
          <w:sz w:val="32"/>
          <w:szCs w:val="32"/>
          <w:highlight w:val="none"/>
          <w:shd w:val="clear" w:fill="FFFFFF"/>
          <w:lang w:val="en-US" w:eastAsia="zh-CN"/>
        </w:rPr>
        <w:t>＋</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企业就业”的协同机制</w:t>
      </w:r>
      <w:r>
        <w:rPr>
          <w:rFonts w:hint="eastAsia" w:cs="仿宋_GB2312"/>
          <w:i w:val="0"/>
          <w:iCs w:val="0"/>
          <w:caps w:val="0"/>
          <w:color w:val="auto"/>
          <w:spacing w:val="0"/>
          <w:sz w:val="32"/>
          <w:szCs w:val="32"/>
          <w:highlight w:val="none"/>
          <w:shd w:val="clear" w:fill="FFFFFF"/>
          <w:lang w:val="en-US" w:eastAsia="zh-CN"/>
        </w:rPr>
        <w:t>。</w:t>
      </w:r>
      <w:r>
        <w:rPr>
          <w:rFonts w:hint="eastAsia" w:ascii="仿宋_GB2312" w:hAnsi="仿宋_GB2312" w:eastAsia="仿宋_GB2312" w:cs="仿宋_GB2312"/>
          <w:b/>
          <w:bCs/>
          <w:color w:val="auto"/>
          <w:kern w:val="0"/>
          <w:sz w:val="32"/>
          <w:szCs w:val="32"/>
          <w:highlight w:val="none"/>
          <w:lang w:val="en-US" w:eastAsia="zh-CN" w:bidi="ar-SA"/>
        </w:rPr>
        <w:t>科技服务。</w:t>
      </w:r>
      <w:r>
        <w:rPr>
          <w:rFonts w:hint="eastAsia" w:ascii="仿宋_GB2312" w:hAnsi="仿宋_GB2312" w:eastAsia="仿宋_GB2312" w:cs="仿宋_GB2312"/>
          <w:b w:val="0"/>
          <w:bCs w:val="0"/>
          <w:color w:val="auto"/>
          <w:kern w:val="0"/>
          <w:sz w:val="32"/>
          <w:szCs w:val="32"/>
          <w:highlight w:val="none"/>
          <w:lang w:val="en-US" w:eastAsia="zh-CN" w:bidi="ar-SA"/>
        </w:rPr>
        <w:t>引导企业加大研发投入，推动科技与产业深度融合，服务经济社会发展。大力宣传专利开放许可制度，鼓励企业利用专利开放许可制度，降低专利技术获取门槛。</w:t>
      </w:r>
    </w:p>
    <w:p w14:paraId="42C4BFF7">
      <w:pPr>
        <w:pStyle w:val="8"/>
        <w:keepNext w:val="0"/>
        <w:keepLines w:val="0"/>
        <w:pageBreakBefore w:val="0"/>
        <w:widowControl w:val="0"/>
        <w:shd w:val="clear"/>
        <w:kinsoku/>
        <w:wordWrap/>
        <w:overflowPunct w:val="0"/>
        <w:topLinePunct w:val="0"/>
        <w:autoSpaceDE/>
        <w:autoSpaceDN/>
        <w:bidi w:val="0"/>
        <w:spacing w:after="0" w:afterAutospacing="0" w:line="600" w:lineRule="exact"/>
        <w:ind w:left="0" w:leftChars="0" w:firstLine="640" w:firstLineChars="200"/>
        <w:jc w:val="both"/>
        <w:textAlignment w:val="auto"/>
        <w:outlineLvl w:val="9"/>
        <w:rPr>
          <w:rFonts w:hint="eastAsia" w:ascii="仿宋_GB2312" w:hAnsi="仿宋_GB2312" w:eastAsia="仿宋_GB2312" w:cs="仿宋_GB2312"/>
          <w:b w:val="0"/>
          <w:bCs w:val="0"/>
          <w:color w:val="auto"/>
          <w:kern w:val="0"/>
          <w:sz w:val="32"/>
          <w:szCs w:val="32"/>
          <w:highlight w:val="none"/>
          <w:lang w:val="en-US" w:eastAsia="zh-CN" w:bidi="ar-SA"/>
        </w:rPr>
      </w:pPr>
      <w:r>
        <w:rPr>
          <w:rFonts w:hint="eastAsia" w:ascii="楷体_GB2312" w:hAnsi="楷体_GB2312" w:eastAsia="楷体_GB2312" w:cs="楷体_GB2312"/>
          <w:color w:val="auto"/>
          <w:sz w:val="32"/>
          <w:szCs w:val="32"/>
          <w:highlight w:val="none"/>
          <w:lang w:val="en-US" w:eastAsia="zh-CN" w:bidi="ar-SA"/>
        </w:rPr>
        <w:t>（二）加快生活性服务业高品质提升和多样化发展。</w:t>
      </w:r>
      <w:r>
        <w:rPr>
          <w:rFonts w:hint="eastAsia" w:ascii="仿宋_GB2312" w:hAnsi="仿宋_GB2312" w:eastAsia="仿宋_GB2312" w:cs="仿宋_GB2312"/>
          <w:b w:val="0"/>
          <w:bCs w:val="0"/>
          <w:color w:val="auto"/>
          <w:kern w:val="0"/>
          <w:sz w:val="32"/>
          <w:szCs w:val="32"/>
          <w:highlight w:val="none"/>
          <w:lang w:val="en-US" w:eastAsia="zh-CN"/>
        </w:rPr>
        <w:t>坚持以人民为中心的发展思想，着力提升生活性服务业品质能级，围绕商贸文旅、健康养老、社区服务等重点民生领域，实施服务质量提升行动，健全标准体系，培育优质品牌，满足城乡居民日益增长的多元化、个性化、高品质消费需求。</w:t>
      </w:r>
      <w:r>
        <w:rPr>
          <w:rFonts w:hint="eastAsia" w:ascii="仿宋_GB2312" w:hAnsi="仿宋_GB2312" w:eastAsia="仿宋_GB2312" w:cs="仿宋_GB2312"/>
          <w:b/>
          <w:bCs/>
          <w:i w:val="0"/>
          <w:iCs w:val="0"/>
          <w:caps w:val="0"/>
          <w:color w:val="auto"/>
          <w:spacing w:val="0"/>
          <w:sz w:val="32"/>
          <w:szCs w:val="32"/>
          <w:highlight w:val="none"/>
          <w:shd w:val="clear" w:fill="FFFFFF"/>
          <w:lang w:val="en-US" w:eastAsia="zh-CN"/>
        </w:rPr>
        <w:t>商贸服务。</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扩大智享家居消费，加快发展新型智能终端、虚拟现实、数字家庭等消费新业态，加快实施传统商圈、便民生活圈改造提升，</w:t>
      </w:r>
      <w:r>
        <w:rPr>
          <w:rFonts w:hint="eastAsia" w:eastAsia="仿宋_GB2312" w:cs="仿宋_GB2312"/>
          <w:i w:val="0"/>
          <w:iCs w:val="0"/>
          <w:caps w:val="0"/>
          <w:color w:val="auto"/>
          <w:spacing w:val="0"/>
          <w:sz w:val="32"/>
          <w:szCs w:val="32"/>
          <w:highlight w:val="none"/>
          <w:shd w:val="clear" w:fill="FFFFFF"/>
          <w:lang w:val="en-US" w:eastAsia="zh-CN"/>
        </w:rPr>
        <w:t>加力建设济南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黄河北区域性消费中心。打造电商平台生态，推动商贸流通企业</w:t>
      </w:r>
      <w:r>
        <w:rPr>
          <w:rFonts w:hint="eastAsia" w:eastAsia="仿宋_GB2312" w:cs="仿宋_GB2312"/>
          <w:i w:val="0"/>
          <w:iCs w:val="0"/>
          <w:caps w:val="0"/>
          <w:color w:val="auto"/>
          <w:spacing w:val="0"/>
          <w:sz w:val="32"/>
          <w:szCs w:val="32"/>
          <w:highlight w:val="none"/>
          <w:shd w:val="clear" w:fill="FFFFFF"/>
          <w:lang w:val="en-US" w:eastAsia="zh-CN"/>
        </w:rPr>
        <w:t>做大</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电商平台，</w:t>
      </w:r>
      <w:r>
        <w:rPr>
          <w:rFonts w:hint="eastAsia" w:eastAsia="仿宋_GB2312" w:cs="仿宋_GB2312"/>
          <w:i w:val="0"/>
          <w:iCs w:val="0"/>
          <w:caps w:val="0"/>
          <w:color w:val="auto"/>
          <w:spacing w:val="0"/>
          <w:sz w:val="32"/>
          <w:szCs w:val="32"/>
          <w:highlight w:val="none"/>
          <w:shd w:val="clear" w:fill="FFFFFF"/>
          <w:lang w:val="en-US" w:eastAsia="zh-CN"/>
        </w:rPr>
        <w:t>力争</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建设一批直播电商生态圈。借助跨境电商跃升发展行动计划、“境外百展”市场计划，推动外贸新业态发展。</w:t>
      </w:r>
      <w:r>
        <w:rPr>
          <w:rFonts w:hint="eastAsia" w:ascii="仿宋_GB2312" w:hAnsi="仿宋_GB2312" w:eastAsia="仿宋_GB2312" w:cs="仿宋_GB2312"/>
          <w:b/>
          <w:bCs/>
          <w:color w:val="auto"/>
          <w:kern w:val="0"/>
          <w:sz w:val="32"/>
          <w:szCs w:val="32"/>
          <w:highlight w:val="none"/>
          <w:lang w:val="en-US" w:eastAsia="zh-CN"/>
        </w:rPr>
        <w:t>文化旅游。</w:t>
      </w:r>
      <w:r>
        <w:rPr>
          <w:rFonts w:hint="eastAsia" w:ascii="仿宋_GB2312" w:hAnsi="仿宋_GB2312" w:eastAsia="仿宋_GB2312" w:cs="仿宋_GB2312"/>
          <w:b w:val="0"/>
          <w:bCs w:val="0"/>
          <w:color w:val="auto"/>
          <w:kern w:val="0"/>
          <w:sz w:val="32"/>
          <w:szCs w:val="32"/>
          <w:highlight w:val="none"/>
          <w:lang w:val="en-US" w:eastAsia="zh-CN"/>
        </w:rPr>
        <w:t>依托黄河文化资源禀赋，以“一景区一方案”推动文旅基础设施与服务品质全面提升。重点发展文化体验、主题旅游、文创产品开发等业态，完善“九曲黄河万里情”文旅综合体项目，促进沿黄露营基地等标志性项目建设，培育具有地域特色的文旅消费品牌，构建集文化传承、旅游休闲、产业延伸于一体的黄河文化旅游产业体系。</w:t>
      </w:r>
      <w:r>
        <w:rPr>
          <w:rFonts w:hint="eastAsia" w:ascii="仿宋_GB2312" w:hAnsi="仿宋_GB2312" w:eastAsia="仿宋_GB2312" w:cs="仿宋_GB2312"/>
          <w:b/>
          <w:bCs/>
          <w:color w:val="auto"/>
          <w:kern w:val="0"/>
          <w:sz w:val="32"/>
          <w:szCs w:val="32"/>
          <w:highlight w:val="none"/>
          <w:lang w:val="en-US" w:eastAsia="zh-CN"/>
        </w:rPr>
        <w:t>医养健康。</w:t>
      </w:r>
      <w:r>
        <w:rPr>
          <w:rFonts w:hint="eastAsia" w:ascii="仿宋_GB2312" w:hAnsi="仿宋_GB2312" w:eastAsia="仿宋_GB2312" w:cs="仿宋_GB2312"/>
          <w:b w:val="0"/>
          <w:bCs w:val="0"/>
          <w:color w:val="auto"/>
          <w:kern w:val="0"/>
          <w:sz w:val="32"/>
          <w:szCs w:val="32"/>
          <w:highlight w:val="none"/>
          <w:lang w:val="en-US" w:eastAsia="zh-CN"/>
        </w:rPr>
        <w:t>围绕医养结合、智慧医疗、中医药三大方向，构建覆盖健康管理、医疗器械、康养服务等环节的产业链条。支持智慧中药房、康养器械、医疗数据服务等细分领域发展，积极引进和培育医养健康领域高新技术企业，推动健康服务与先进制造深度融合，</w:t>
      </w:r>
      <w:r>
        <w:rPr>
          <w:rFonts w:hint="eastAsia" w:eastAsia="仿宋_GB2312" w:cs="仿宋_GB2312"/>
          <w:b w:val="0"/>
          <w:bCs w:val="0"/>
          <w:color w:val="auto"/>
          <w:kern w:val="0"/>
          <w:sz w:val="32"/>
          <w:szCs w:val="32"/>
          <w:highlight w:val="none"/>
          <w:lang w:val="en-US" w:eastAsia="zh-CN"/>
        </w:rPr>
        <w:t>强化</w:t>
      </w:r>
      <w:r>
        <w:rPr>
          <w:rFonts w:hint="eastAsia" w:ascii="仿宋_GB2312" w:hAnsi="仿宋_GB2312" w:eastAsia="仿宋_GB2312" w:cs="仿宋_GB2312"/>
          <w:b w:val="0"/>
          <w:bCs w:val="0"/>
          <w:color w:val="auto"/>
          <w:kern w:val="0"/>
          <w:sz w:val="32"/>
          <w:szCs w:val="32"/>
          <w:highlight w:val="none"/>
          <w:lang w:val="en-US" w:eastAsia="zh-CN"/>
        </w:rPr>
        <w:t>区域医养健康产业创新</w:t>
      </w:r>
      <w:r>
        <w:rPr>
          <w:rFonts w:hint="eastAsia" w:eastAsia="仿宋_GB2312" w:cs="仿宋_GB2312"/>
          <w:b w:val="0"/>
          <w:bCs w:val="0"/>
          <w:color w:val="auto"/>
          <w:kern w:val="0"/>
          <w:sz w:val="32"/>
          <w:szCs w:val="32"/>
          <w:highlight w:val="none"/>
          <w:lang w:val="en-US" w:eastAsia="zh-CN"/>
        </w:rPr>
        <w:t>发展</w:t>
      </w:r>
      <w:r>
        <w:rPr>
          <w:rFonts w:hint="eastAsia" w:ascii="仿宋_GB2312" w:hAnsi="仿宋_GB2312" w:eastAsia="仿宋_GB2312" w:cs="仿宋_GB2312"/>
          <w:b w:val="0"/>
          <w:bCs w:val="0"/>
          <w:color w:val="auto"/>
          <w:kern w:val="0"/>
          <w:sz w:val="32"/>
          <w:szCs w:val="32"/>
          <w:highlight w:val="none"/>
          <w:lang w:val="en-US" w:eastAsia="zh-CN"/>
        </w:rPr>
        <w:t>。</w:t>
      </w:r>
      <w:r>
        <w:rPr>
          <w:rFonts w:hint="eastAsia" w:ascii="仿宋_GB2312" w:hAnsi="仿宋_GB2312" w:eastAsia="仿宋_GB2312" w:cs="仿宋_GB2312"/>
          <w:b/>
          <w:bCs/>
          <w:color w:val="auto"/>
          <w:kern w:val="0"/>
          <w:sz w:val="32"/>
          <w:szCs w:val="32"/>
          <w:highlight w:val="none"/>
          <w:lang w:val="en-US" w:eastAsia="zh-CN"/>
        </w:rPr>
        <w:t>养老托育。</w:t>
      </w:r>
      <w:r>
        <w:rPr>
          <w:rFonts w:hint="eastAsia" w:ascii="仿宋_GB2312" w:hAnsi="仿宋_GB2312" w:eastAsia="仿宋_GB2312" w:cs="仿宋_GB2312"/>
          <w:b w:val="0"/>
          <w:bCs w:val="0"/>
          <w:color w:val="auto"/>
          <w:kern w:val="0"/>
          <w:sz w:val="32"/>
          <w:szCs w:val="32"/>
          <w:highlight w:val="none"/>
          <w:lang w:val="en-US" w:eastAsia="zh-CN"/>
        </w:rPr>
        <w:t>围绕“闻韶济养”养老服务品牌建设，积极引进培育专业化养老服务机构，推动“</w:t>
      </w:r>
      <w:r>
        <w:rPr>
          <w:rFonts w:hint="eastAsia" w:ascii="仿宋_GB2312" w:hAnsi="仿宋_GB2312" w:eastAsia="仿宋_GB2312" w:cs="仿宋_GB2312"/>
          <w:b w:val="0"/>
          <w:bCs w:val="0"/>
          <w:color w:val="auto"/>
          <w:kern w:val="0"/>
          <w:sz w:val="32"/>
          <w:szCs w:val="32"/>
          <w:highlight w:val="none"/>
          <w:shd w:val="clear" w:fill="FFFFFF"/>
          <w:lang w:val="en-US" w:eastAsia="zh-CN"/>
        </w:rPr>
        <w:t>志愿</w:t>
      </w:r>
      <w:r>
        <w:rPr>
          <w:rFonts w:hint="eastAsia" w:eastAsia="仿宋_GB2312" w:cs="仿宋_GB2312"/>
          <w:b w:val="0"/>
          <w:bCs w:val="0"/>
          <w:color w:val="auto"/>
          <w:kern w:val="0"/>
          <w:sz w:val="32"/>
          <w:szCs w:val="32"/>
          <w:highlight w:val="none"/>
          <w:shd w:val="clear" w:fill="FFFFFF"/>
          <w:lang w:val="en-US" w:eastAsia="zh-CN"/>
        </w:rPr>
        <w:t>＋</w:t>
      </w:r>
      <w:r>
        <w:rPr>
          <w:rFonts w:hint="eastAsia" w:ascii="仿宋_GB2312" w:hAnsi="仿宋_GB2312" w:eastAsia="仿宋_GB2312" w:cs="仿宋_GB2312"/>
          <w:b w:val="0"/>
          <w:bCs w:val="0"/>
          <w:color w:val="auto"/>
          <w:kern w:val="0"/>
          <w:sz w:val="32"/>
          <w:szCs w:val="32"/>
          <w:highlight w:val="none"/>
          <w:shd w:val="clear" w:fill="FFFFFF"/>
          <w:lang w:val="en-US" w:eastAsia="zh-CN"/>
        </w:rPr>
        <w:t>养老”“慈善</w:t>
      </w:r>
      <w:r>
        <w:rPr>
          <w:rFonts w:hint="eastAsia" w:eastAsia="仿宋_GB2312" w:cs="仿宋_GB2312"/>
          <w:color w:val="auto"/>
          <w:spacing w:val="0"/>
          <w:kern w:val="0"/>
          <w:sz w:val="32"/>
          <w:szCs w:val="32"/>
          <w:highlight w:val="none"/>
          <w:shd w:val="clear" w:fill="FFFFFF"/>
          <w:lang w:val="en-US" w:eastAsia="zh-CN" w:bidi="ar-SA"/>
        </w:rPr>
        <w:t>＋</w:t>
      </w:r>
      <w:r>
        <w:rPr>
          <w:rFonts w:hint="eastAsia" w:ascii="仿宋_GB2312" w:hAnsi="仿宋_GB2312" w:eastAsia="仿宋_GB2312" w:cs="仿宋_GB2312"/>
          <w:b w:val="0"/>
          <w:bCs w:val="0"/>
          <w:color w:val="auto"/>
          <w:kern w:val="0"/>
          <w:sz w:val="32"/>
          <w:szCs w:val="32"/>
          <w:highlight w:val="none"/>
          <w:lang w:val="en-US" w:eastAsia="zh-CN"/>
        </w:rPr>
        <w:t>养老”等创新服务模式发展。同步规划</w:t>
      </w:r>
      <w:r>
        <w:rPr>
          <w:rFonts w:hint="eastAsia" w:eastAsia="仿宋_GB2312" w:cs="仿宋_GB2312"/>
          <w:b w:val="0"/>
          <w:bCs w:val="0"/>
          <w:color w:val="auto"/>
          <w:kern w:val="0"/>
          <w:sz w:val="32"/>
          <w:szCs w:val="32"/>
          <w:highlight w:val="none"/>
          <w:lang w:val="en-US" w:eastAsia="zh-CN"/>
        </w:rPr>
        <w:t>发展</w:t>
      </w:r>
      <w:r>
        <w:rPr>
          <w:rFonts w:hint="eastAsia" w:ascii="仿宋_GB2312" w:hAnsi="仿宋_GB2312" w:eastAsia="仿宋_GB2312" w:cs="仿宋_GB2312"/>
          <w:b w:val="0"/>
          <w:bCs w:val="0"/>
          <w:color w:val="auto"/>
          <w:kern w:val="0"/>
          <w:sz w:val="32"/>
          <w:szCs w:val="32"/>
          <w:highlight w:val="none"/>
          <w:lang w:val="en-US" w:eastAsia="zh-CN"/>
        </w:rPr>
        <w:t>银发产业，聚焦老年用品研发制造、健康食品、康复辅具等产业领域，推动养老服务与制造产业融合发展。统筹推进托育服务体系建设，支持社会力量兴办普惠托育机构，鼓励园区、企业开展嵌入式托育服务，培育托育装备、儿童食品、益智产品等特色产业，构建覆盖全龄、医育结合的服务体系。</w:t>
      </w:r>
      <w:r>
        <w:rPr>
          <w:rFonts w:hint="eastAsia" w:ascii="仿宋_GB2312" w:hAnsi="仿宋_GB2312" w:eastAsia="仿宋_GB2312" w:cs="仿宋_GB2312"/>
          <w:b/>
          <w:bCs/>
          <w:color w:val="auto"/>
          <w:kern w:val="0"/>
          <w:sz w:val="32"/>
          <w:szCs w:val="32"/>
          <w:highlight w:val="none"/>
          <w:lang w:val="en-US" w:eastAsia="zh-CN"/>
        </w:rPr>
        <w:t>房地产业。</w:t>
      </w:r>
      <w:r>
        <w:rPr>
          <w:rFonts w:hint="eastAsia" w:ascii="仿宋_GB2312" w:hAnsi="仿宋_GB2312" w:eastAsia="仿宋_GB2312" w:cs="仿宋_GB2312"/>
          <w:b w:val="0"/>
          <w:bCs w:val="0"/>
          <w:color w:val="auto"/>
          <w:kern w:val="0"/>
          <w:sz w:val="32"/>
          <w:szCs w:val="32"/>
          <w:highlight w:val="none"/>
          <w:lang w:val="en-US" w:eastAsia="zh-CN"/>
        </w:rPr>
        <w:t>促进房地产业平稳健康发展，支持刚性和改善性住房需求，优化住房供给结构，增加高品质住宅与租赁住房供给，推动城市更新与居住社区功能完善，提升物业管理与社区服务水平。</w:t>
      </w:r>
      <w:r>
        <w:rPr>
          <w:rFonts w:hint="eastAsia" w:ascii="仿宋_GB2312" w:hAnsi="仿宋_GB2312" w:eastAsia="仿宋_GB2312" w:cs="仿宋_GB2312"/>
          <w:b/>
          <w:bCs/>
          <w:color w:val="auto"/>
          <w:kern w:val="0"/>
          <w:sz w:val="32"/>
          <w:szCs w:val="32"/>
          <w:highlight w:val="none"/>
          <w:lang w:val="en-US" w:eastAsia="zh-CN" w:bidi="ar-SA"/>
        </w:rPr>
        <w:t>大数据服务。</w:t>
      </w:r>
      <w:r>
        <w:rPr>
          <w:rFonts w:hint="eastAsia" w:eastAsia="仿宋_GB2312" w:cs="仿宋_GB2312"/>
          <w:b w:val="0"/>
          <w:bCs w:val="0"/>
          <w:color w:val="auto"/>
          <w:kern w:val="0"/>
          <w:sz w:val="32"/>
          <w:szCs w:val="32"/>
          <w:highlight w:val="none"/>
          <w:lang w:val="en-US" w:eastAsia="zh-CN" w:bidi="ar-SA"/>
        </w:rPr>
        <w:t>力争</w:t>
      </w:r>
      <w:r>
        <w:rPr>
          <w:rFonts w:hint="eastAsia" w:ascii="仿宋_GB2312" w:hAnsi="仿宋_GB2312" w:eastAsia="仿宋_GB2312" w:cs="仿宋_GB2312"/>
          <w:b w:val="0"/>
          <w:bCs w:val="0"/>
          <w:color w:val="auto"/>
          <w:kern w:val="0"/>
          <w:sz w:val="32"/>
          <w:szCs w:val="32"/>
          <w:highlight w:val="none"/>
          <w:lang w:val="en-US" w:eastAsia="zh-CN" w:bidi="ar-SA"/>
        </w:rPr>
        <w:t>引进培植一批技术水平高、市场竞争力强、具有自主知识产权的大数据企业。</w:t>
      </w:r>
      <w:r>
        <w:rPr>
          <w:rFonts w:hint="eastAsia" w:eastAsia="仿宋_GB2312" w:cs="仿宋_GB2312"/>
          <w:b w:val="0"/>
          <w:bCs w:val="0"/>
          <w:color w:val="auto"/>
          <w:kern w:val="0"/>
          <w:sz w:val="32"/>
          <w:szCs w:val="32"/>
          <w:highlight w:val="none"/>
          <w:lang w:val="en-US" w:eastAsia="zh-CN" w:bidi="ar-SA"/>
        </w:rPr>
        <w:t>推广</w:t>
      </w:r>
      <w:r>
        <w:rPr>
          <w:rFonts w:hint="eastAsia" w:ascii="仿宋_GB2312" w:hAnsi="仿宋_GB2312" w:eastAsia="仿宋_GB2312" w:cs="仿宋_GB2312"/>
          <w:b w:val="0"/>
          <w:bCs w:val="0"/>
          <w:color w:val="auto"/>
          <w:kern w:val="0"/>
          <w:sz w:val="32"/>
          <w:szCs w:val="32"/>
          <w:highlight w:val="none"/>
          <w:lang w:val="en-US" w:eastAsia="zh-CN" w:bidi="ar-SA"/>
        </w:rPr>
        <w:t>大数据在智慧医疗、智慧教育、智慧城管、智慧公安、智慧交通等公共服务领域的运用，持续开展大数据应用建设。</w:t>
      </w:r>
    </w:p>
    <w:p w14:paraId="21F49BE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楷体_GB2312" w:hAnsi="楷体_GB2312" w:eastAsia="楷体_GB2312" w:cs="楷体_GB2312"/>
          <w:color w:val="auto"/>
          <w:sz w:val="32"/>
          <w:szCs w:val="32"/>
          <w:highlight w:val="none"/>
          <w:lang w:val="en-US" w:eastAsia="zh-CN"/>
        </w:rPr>
        <w:t>（三）推动现代服务业与先进制造业深度融合。</w:t>
      </w:r>
      <w:r>
        <w:rPr>
          <w:rFonts w:hint="eastAsia" w:ascii="仿宋_GB2312" w:hAnsi="仿宋_GB2312" w:eastAsia="仿宋_GB2312" w:cs="仿宋_GB2312"/>
          <w:color w:val="auto"/>
          <w:spacing w:val="0"/>
          <w:kern w:val="2"/>
          <w:sz w:val="32"/>
          <w:szCs w:val="32"/>
          <w:highlight w:val="none"/>
          <w:lang w:val="en-US" w:eastAsia="zh-CN" w:bidi="ar-SA"/>
        </w:rPr>
        <w:t>聚焦主导产业</w:t>
      </w:r>
      <w:r>
        <w:rPr>
          <w:rFonts w:hint="eastAsia" w:cs="仿宋_GB2312"/>
          <w:color w:val="auto"/>
          <w:spacing w:val="0"/>
          <w:kern w:val="2"/>
          <w:sz w:val="32"/>
          <w:szCs w:val="32"/>
          <w:highlight w:val="none"/>
          <w:lang w:val="en-US" w:eastAsia="zh-CN" w:bidi="ar-SA"/>
        </w:rPr>
        <w:t>重点领域和发展方向</w:t>
      </w:r>
      <w:r>
        <w:rPr>
          <w:rFonts w:hint="eastAsia" w:ascii="仿宋_GB2312" w:hAnsi="仿宋_GB2312" w:eastAsia="仿宋_GB2312" w:cs="仿宋_GB2312"/>
          <w:color w:val="auto"/>
          <w:spacing w:val="0"/>
          <w:kern w:val="2"/>
          <w:sz w:val="32"/>
          <w:szCs w:val="32"/>
          <w:highlight w:val="none"/>
          <w:lang w:val="en-US" w:eastAsia="zh-CN" w:bidi="ar-SA"/>
        </w:rPr>
        <w:t>，鼓励本地制造企业与物流、研发设计、供应链管理等服务企业建立</w:t>
      </w:r>
      <w:r>
        <w:rPr>
          <w:rFonts w:hint="eastAsia" w:cs="仿宋_GB2312"/>
          <w:color w:val="auto"/>
          <w:spacing w:val="0"/>
          <w:kern w:val="2"/>
          <w:sz w:val="32"/>
          <w:szCs w:val="32"/>
          <w:highlight w:val="none"/>
          <w:lang w:val="en-US" w:eastAsia="zh-CN" w:bidi="ar-SA"/>
        </w:rPr>
        <w:t>合作</w:t>
      </w:r>
      <w:r>
        <w:rPr>
          <w:rFonts w:hint="eastAsia" w:ascii="仿宋_GB2312" w:hAnsi="仿宋_GB2312" w:eastAsia="仿宋_GB2312" w:cs="仿宋_GB2312"/>
          <w:color w:val="auto"/>
          <w:spacing w:val="0"/>
          <w:kern w:val="2"/>
          <w:sz w:val="32"/>
          <w:szCs w:val="32"/>
          <w:highlight w:val="none"/>
          <w:lang w:val="en-US" w:eastAsia="zh-CN" w:bidi="ar-SA"/>
        </w:rPr>
        <w:t>机制。通过定期组织供需对接会、搭建产业创新协同平台等方式，促进信息互通与资源共享，实现制造环节与服务环节的高效联动。支持装备制造等企业向产业链上下游服务环节延伸，积极拓展安装调试、运维支持、操作培训、全生命周期管理等增值服务，推动业务结构从以制造为中心向“制造</w:t>
      </w:r>
      <w:r>
        <w:rPr>
          <w:rFonts w:hint="eastAsia" w:cs="仿宋_GB2312"/>
          <w:color w:val="auto"/>
          <w:spacing w:val="0"/>
          <w:kern w:val="2"/>
          <w:sz w:val="32"/>
          <w:szCs w:val="32"/>
          <w:highlight w:val="none"/>
          <w:lang w:val="en-US" w:eastAsia="zh-CN" w:bidi="ar-SA"/>
        </w:rPr>
        <w:t>＋</w:t>
      </w:r>
      <w:r>
        <w:rPr>
          <w:rFonts w:hint="eastAsia" w:ascii="仿宋_GB2312" w:hAnsi="仿宋_GB2312" w:eastAsia="仿宋_GB2312" w:cs="仿宋_GB2312"/>
          <w:color w:val="auto"/>
          <w:spacing w:val="0"/>
          <w:kern w:val="2"/>
          <w:sz w:val="32"/>
          <w:szCs w:val="32"/>
          <w:highlight w:val="none"/>
          <w:lang w:val="en-US" w:eastAsia="zh-CN" w:bidi="ar-SA"/>
        </w:rPr>
        <w:t>服务”并重转型。引导物流、研发设计、检验检测等服务业企业围绕制造业具体需求，开发提供定制化、专业化服务解决方案。积极推动工业互联网、人工智能等新一代信息技术在制造流程与服务环节中的深度应用，加快智能工厂、智慧物流园区等项目建设，全面提升区域产业的核心竞争力和可持续发展能力。</w:t>
      </w:r>
    </w:p>
    <w:p w14:paraId="5CD10960">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0" w:firstLineChars="0"/>
        <w:jc w:val="center"/>
        <w:textAlignment w:val="auto"/>
        <w:outlineLvl w:val="2"/>
        <w:rPr>
          <w:rFonts w:hint="default" w:ascii="楷体_GB2312" w:hAnsi="楷体_GB2312" w:eastAsia="楷体_GB2312" w:cs="楷体_GB2312"/>
          <w:b w:val="0"/>
          <w:bCs w:val="0"/>
          <w:color w:val="auto"/>
          <w:spacing w:val="0"/>
          <w:kern w:val="2"/>
          <w:sz w:val="28"/>
          <w:szCs w:val="28"/>
          <w:highlight w:val="none"/>
          <w:lang w:val="en-US" w:eastAsia="zh-CN"/>
        </w:rPr>
      </w:pPr>
      <w:bookmarkStart w:id="95" w:name="_Toc2482"/>
      <w:r>
        <w:rPr>
          <w:rFonts w:hint="eastAsia" w:ascii="楷体_GB2312" w:hAnsi="楷体_GB2312" w:eastAsia="楷体_GB2312" w:cs="楷体_GB2312"/>
          <w:b w:val="0"/>
          <w:bCs w:val="0"/>
          <w:color w:val="auto"/>
          <w:spacing w:val="0"/>
          <w:kern w:val="2"/>
          <w:sz w:val="28"/>
          <w:szCs w:val="28"/>
          <w:highlight w:val="none"/>
          <w:lang w:val="en-US" w:eastAsia="zh-CN"/>
        </w:rPr>
        <w:t>专栏4  现代化服务业提升行动</w:t>
      </w:r>
      <w:bookmarkEnd w:id="95"/>
    </w:p>
    <w:tbl>
      <w:tblPr>
        <w:tblStyle w:val="19"/>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59812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60" w:type="dxa"/>
          </w:tcPr>
          <w:p w14:paraId="03ED305A">
            <w:pPr>
              <w:keepNext w:val="0"/>
              <w:keepLines w:val="0"/>
              <w:pageBreakBefore w:val="0"/>
              <w:widowControl w:val="0"/>
              <w:suppressLineNumbers w:val="0"/>
              <w:shd w:val="clear"/>
              <w:kinsoku/>
              <w:wordWrap/>
              <w:overflowPunct w:val="0"/>
              <w:topLinePunct w:val="0"/>
              <w:autoSpaceDE/>
              <w:autoSpaceDN/>
              <w:bidi w:val="0"/>
              <w:adjustRightInd w:val="0"/>
              <w:snapToGrid w:val="0"/>
              <w:spacing w:afterAutospacing="0" w:line="480" w:lineRule="exact"/>
              <w:ind w:left="0" w:leftChars="0" w:firstLine="562" w:firstLineChars="200"/>
              <w:jc w:val="both"/>
              <w:textAlignment w:val="auto"/>
              <w:outlineLvl w:val="9"/>
              <w:rPr>
                <w:rFonts w:hint="eastAsia" w:ascii="楷体_GB2312" w:hAnsi="楷体_GB2312" w:eastAsia="楷体_GB2312" w:cs="楷体_GB2312"/>
                <w:b w:val="0"/>
                <w:bCs w:val="0"/>
                <w:color w:val="auto"/>
                <w:kern w:val="0"/>
                <w:sz w:val="28"/>
                <w:szCs w:val="28"/>
                <w:highlight w:val="none"/>
                <w:lang w:val="en-US" w:eastAsia="zh-CN" w:bidi="ar"/>
              </w:rPr>
            </w:pPr>
            <w:r>
              <w:rPr>
                <w:rFonts w:hint="eastAsia" w:ascii="楷体_GB2312" w:hAnsi="楷体_GB2312" w:eastAsia="楷体_GB2312" w:cs="楷体_GB2312"/>
                <w:b/>
                <w:bCs/>
                <w:color w:val="auto"/>
                <w:kern w:val="0"/>
                <w:sz w:val="28"/>
                <w:szCs w:val="28"/>
                <w:highlight w:val="none"/>
                <w:lang w:val="en-US" w:eastAsia="zh-CN" w:bidi="ar"/>
              </w:rPr>
              <w:t>1.产业融合深化工程。</w:t>
            </w:r>
            <w:r>
              <w:rPr>
                <w:rFonts w:hint="eastAsia" w:ascii="楷体_GB2312" w:hAnsi="楷体_GB2312" w:eastAsia="楷体_GB2312" w:cs="楷体_GB2312"/>
                <w:b w:val="0"/>
                <w:bCs w:val="0"/>
                <w:color w:val="auto"/>
                <w:kern w:val="0"/>
                <w:sz w:val="28"/>
                <w:szCs w:val="28"/>
                <w:highlight w:val="none"/>
                <w:lang w:val="en-US" w:eastAsia="zh-CN" w:bidi="ar"/>
              </w:rPr>
              <w:t>支持企业由单一制造向“制造＋服务”转型，鼓励申报国家和省级服务型制造示范企业。推动企业开展定制化服务、总集成总承包等新模式，依托智链汇联智慧物流项目，强化供应链协同服务能力，支持服务业企业通过委托生产、品牌合作等方式融入制造环节。</w:t>
            </w:r>
          </w:p>
          <w:p w14:paraId="67BD0151">
            <w:pPr>
              <w:keepNext w:val="0"/>
              <w:keepLines w:val="0"/>
              <w:pageBreakBefore w:val="0"/>
              <w:widowControl w:val="0"/>
              <w:suppressLineNumbers w:val="0"/>
              <w:shd w:val="clear"/>
              <w:kinsoku/>
              <w:wordWrap/>
              <w:overflowPunct w:val="0"/>
              <w:topLinePunct w:val="0"/>
              <w:autoSpaceDE/>
              <w:autoSpaceDN/>
              <w:bidi w:val="0"/>
              <w:adjustRightInd w:val="0"/>
              <w:snapToGrid w:val="0"/>
              <w:spacing w:afterAutospacing="0" w:line="480" w:lineRule="exact"/>
              <w:ind w:left="0" w:leftChars="0" w:firstLine="562" w:firstLineChars="200"/>
              <w:jc w:val="both"/>
              <w:textAlignment w:val="auto"/>
              <w:outlineLvl w:val="9"/>
              <w:rPr>
                <w:rFonts w:hint="eastAsia" w:ascii="楷体_GB2312" w:hAnsi="楷体_GB2312" w:eastAsia="楷体_GB2312" w:cs="楷体_GB2312"/>
                <w:b w:val="0"/>
                <w:bCs w:val="0"/>
                <w:color w:val="auto"/>
                <w:kern w:val="0"/>
                <w:sz w:val="28"/>
                <w:szCs w:val="28"/>
                <w:highlight w:val="none"/>
                <w:lang w:val="en-US" w:eastAsia="zh-CN" w:bidi="ar"/>
              </w:rPr>
            </w:pPr>
            <w:r>
              <w:rPr>
                <w:rFonts w:hint="eastAsia" w:ascii="楷体_GB2312" w:hAnsi="楷体_GB2312" w:eastAsia="楷体_GB2312" w:cs="楷体_GB2312"/>
                <w:b/>
                <w:bCs/>
                <w:color w:val="auto"/>
                <w:kern w:val="0"/>
                <w:sz w:val="28"/>
                <w:szCs w:val="28"/>
                <w:highlight w:val="none"/>
                <w:lang w:val="en-US" w:eastAsia="zh-CN" w:bidi="ar"/>
              </w:rPr>
              <w:t>2.数字技术赋能工程。</w:t>
            </w:r>
            <w:r>
              <w:rPr>
                <w:rFonts w:hint="eastAsia" w:ascii="楷体_GB2312" w:hAnsi="楷体_GB2312" w:eastAsia="楷体_GB2312" w:cs="楷体_GB2312"/>
                <w:b w:val="0"/>
                <w:bCs w:val="0"/>
                <w:color w:val="auto"/>
                <w:kern w:val="0"/>
                <w:sz w:val="28"/>
                <w:szCs w:val="28"/>
                <w:highlight w:val="none"/>
                <w:lang w:val="en-US" w:eastAsia="zh-CN" w:bidi="ar"/>
              </w:rPr>
              <w:t>加快服务业数字化进程，推广智慧医疗、在线教育、数字文旅等新业态。谋划推进大数据综合交付中心项目建设，构建行业数据专题库，围绕工业互联网、智能运维等领域遴选一批转型典型案例，打造数据服务产业基地。</w:t>
            </w:r>
          </w:p>
          <w:p w14:paraId="222251C8">
            <w:pPr>
              <w:keepNext w:val="0"/>
              <w:keepLines w:val="0"/>
              <w:pageBreakBefore w:val="0"/>
              <w:widowControl w:val="0"/>
              <w:suppressLineNumbers w:val="0"/>
              <w:shd w:val="clear"/>
              <w:kinsoku/>
              <w:wordWrap/>
              <w:overflowPunct w:val="0"/>
              <w:topLinePunct w:val="0"/>
              <w:autoSpaceDE/>
              <w:autoSpaceDN/>
              <w:bidi w:val="0"/>
              <w:adjustRightInd w:val="0"/>
              <w:snapToGrid w:val="0"/>
              <w:spacing w:afterAutospacing="0" w:line="480" w:lineRule="exact"/>
              <w:ind w:left="0" w:leftChars="0" w:firstLine="562" w:firstLineChars="200"/>
              <w:jc w:val="both"/>
              <w:textAlignment w:val="auto"/>
              <w:outlineLvl w:val="9"/>
              <w:rPr>
                <w:rFonts w:hint="eastAsia" w:ascii="楷体_GB2312" w:hAnsi="楷体_GB2312" w:eastAsia="楷体_GB2312" w:cs="楷体_GB2312"/>
                <w:b w:val="0"/>
                <w:bCs w:val="0"/>
                <w:color w:val="auto"/>
                <w:kern w:val="0"/>
                <w:sz w:val="28"/>
                <w:szCs w:val="28"/>
                <w:highlight w:val="none"/>
                <w:lang w:val="en-US" w:eastAsia="zh-CN" w:bidi="ar"/>
              </w:rPr>
            </w:pPr>
            <w:r>
              <w:rPr>
                <w:rFonts w:hint="eastAsia" w:ascii="楷体_GB2312" w:hAnsi="楷体_GB2312" w:eastAsia="楷体_GB2312" w:cs="楷体_GB2312"/>
                <w:b/>
                <w:bCs/>
                <w:color w:val="auto"/>
                <w:kern w:val="0"/>
                <w:sz w:val="28"/>
                <w:szCs w:val="28"/>
                <w:highlight w:val="none"/>
                <w:lang w:val="en-US" w:eastAsia="zh-CN" w:bidi="ar"/>
              </w:rPr>
              <w:t>3.集聚载体建设工程。</w:t>
            </w:r>
            <w:r>
              <w:rPr>
                <w:rFonts w:hint="eastAsia" w:ascii="楷体_GB2312" w:hAnsi="楷体_GB2312" w:eastAsia="楷体_GB2312" w:cs="楷体_GB2312"/>
                <w:b w:val="0"/>
                <w:bCs w:val="0"/>
                <w:color w:val="auto"/>
                <w:kern w:val="0"/>
                <w:sz w:val="28"/>
                <w:szCs w:val="28"/>
                <w:highlight w:val="none"/>
                <w:lang w:val="en-US" w:eastAsia="zh-CN" w:bidi="ar"/>
              </w:rPr>
              <w:t>以专业化、特色化为方向，谋划推动高铁智谷科创园项目、现代服务业产业基地项目等载体建设，力争培育一批特色产业楼宇和现代服务业集聚区，推动服务业实现集群化、高质量发展。</w:t>
            </w:r>
          </w:p>
          <w:p w14:paraId="72DC6ED9">
            <w:pPr>
              <w:keepNext w:val="0"/>
              <w:keepLines w:val="0"/>
              <w:pageBreakBefore w:val="0"/>
              <w:widowControl w:val="0"/>
              <w:suppressLineNumbers w:val="0"/>
              <w:shd w:val="clear"/>
              <w:kinsoku/>
              <w:wordWrap/>
              <w:overflowPunct w:val="0"/>
              <w:topLinePunct w:val="0"/>
              <w:autoSpaceDE/>
              <w:autoSpaceDN/>
              <w:bidi w:val="0"/>
              <w:adjustRightInd w:val="0"/>
              <w:snapToGrid w:val="0"/>
              <w:spacing w:afterAutospacing="0" w:line="480" w:lineRule="exact"/>
              <w:ind w:left="0" w:leftChars="0" w:firstLine="562" w:firstLineChars="200"/>
              <w:jc w:val="both"/>
              <w:textAlignment w:val="auto"/>
              <w:outlineLvl w:val="9"/>
              <w:rPr>
                <w:rFonts w:hint="eastAsia" w:ascii="楷体_GB2312" w:hAnsi="楷体_GB2312" w:eastAsia="楷体_GB2312" w:cs="楷体_GB2312"/>
                <w:b w:val="0"/>
                <w:bCs w:val="0"/>
                <w:color w:val="auto"/>
                <w:kern w:val="0"/>
                <w:sz w:val="28"/>
                <w:szCs w:val="28"/>
                <w:highlight w:val="none"/>
                <w:lang w:val="en-US" w:eastAsia="zh-CN" w:bidi="ar"/>
              </w:rPr>
            </w:pPr>
            <w:r>
              <w:rPr>
                <w:rFonts w:hint="eastAsia" w:ascii="楷体_GB2312" w:hAnsi="楷体_GB2312" w:eastAsia="楷体_GB2312" w:cs="楷体_GB2312"/>
                <w:b/>
                <w:bCs/>
                <w:color w:val="auto"/>
                <w:kern w:val="0"/>
                <w:sz w:val="28"/>
                <w:szCs w:val="28"/>
                <w:highlight w:val="none"/>
                <w:lang w:val="en-US" w:eastAsia="zh-CN" w:bidi="ar"/>
              </w:rPr>
              <w:t>4.精准招商培育工程。</w:t>
            </w:r>
            <w:r>
              <w:rPr>
                <w:rFonts w:hint="eastAsia" w:ascii="楷体_GB2312" w:hAnsi="楷体_GB2312" w:eastAsia="楷体_GB2312" w:cs="楷体_GB2312"/>
                <w:b w:val="0"/>
                <w:bCs w:val="0"/>
                <w:color w:val="auto"/>
                <w:kern w:val="0"/>
                <w:sz w:val="28"/>
                <w:szCs w:val="28"/>
                <w:highlight w:val="none"/>
                <w:lang w:val="en-US" w:eastAsia="zh-CN" w:bidi="ar"/>
              </w:rPr>
              <w:t>发挥临空优势，推进山东综合数贸港项目落地，加强数字贸易、高端消费等领域产业链招商，培育一批具有核心竞争力的服务业企业。</w:t>
            </w:r>
          </w:p>
          <w:p w14:paraId="6860561E">
            <w:pPr>
              <w:keepNext w:val="0"/>
              <w:keepLines w:val="0"/>
              <w:pageBreakBefore w:val="0"/>
              <w:widowControl w:val="0"/>
              <w:suppressLineNumbers w:val="0"/>
              <w:shd w:val="clear"/>
              <w:kinsoku/>
              <w:wordWrap/>
              <w:overflowPunct w:val="0"/>
              <w:topLinePunct w:val="0"/>
              <w:autoSpaceDE/>
              <w:autoSpaceDN/>
              <w:bidi w:val="0"/>
              <w:adjustRightInd w:val="0"/>
              <w:snapToGrid w:val="0"/>
              <w:spacing w:afterAutospacing="0" w:line="480" w:lineRule="exact"/>
              <w:ind w:left="0" w:leftChars="0" w:firstLine="562" w:firstLineChars="200"/>
              <w:jc w:val="both"/>
              <w:textAlignment w:val="auto"/>
              <w:outlineLvl w:val="9"/>
              <w:rPr>
                <w:rFonts w:hint="eastAsia" w:ascii="楷体_GB2312" w:hAnsi="楷体_GB2312" w:eastAsia="楷体_GB2312" w:cs="楷体_GB2312"/>
                <w:b w:val="0"/>
                <w:bCs w:val="0"/>
                <w:color w:val="auto"/>
                <w:kern w:val="0"/>
                <w:sz w:val="28"/>
                <w:szCs w:val="28"/>
                <w:highlight w:val="none"/>
                <w:lang w:val="en-US" w:eastAsia="zh-CN" w:bidi="ar"/>
              </w:rPr>
            </w:pPr>
            <w:r>
              <w:rPr>
                <w:rFonts w:hint="eastAsia" w:ascii="楷体_GB2312" w:hAnsi="楷体_GB2312" w:eastAsia="楷体_GB2312" w:cs="楷体_GB2312"/>
                <w:b/>
                <w:bCs/>
                <w:color w:val="auto"/>
                <w:kern w:val="0"/>
                <w:sz w:val="28"/>
                <w:szCs w:val="28"/>
                <w:highlight w:val="none"/>
                <w:lang w:val="en-US" w:eastAsia="zh-CN" w:bidi="ar"/>
              </w:rPr>
              <w:t>5.消费场景升级工程。</w:t>
            </w:r>
            <w:r>
              <w:rPr>
                <w:rFonts w:hint="eastAsia" w:ascii="楷体_GB2312" w:hAnsi="楷体_GB2312" w:eastAsia="楷体_GB2312" w:cs="楷体_GB2312"/>
                <w:b w:val="0"/>
                <w:bCs w:val="0"/>
                <w:color w:val="auto"/>
                <w:kern w:val="0"/>
                <w:sz w:val="28"/>
                <w:szCs w:val="28"/>
                <w:highlight w:val="none"/>
                <w:lang w:val="en-US" w:eastAsia="zh-CN" w:bidi="ar"/>
              </w:rPr>
              <w:t>提质升级核心商圈与特色街区，持续做响“济阳@黄河”等系列消费品牌，创新深化文旅节庆活动体验，积极拓展沉浸式、互动式消费新场景。</w:t>
            </w:r>
          </w:p>
          <w:p w14:paraId="2B41D754">
            <w:pPr>
              <w:keepNext w:val="0"/>
              <w:keepLines w:val="0"/>
              <w:pageBreakBefore w:val="0"/>
              <w:widowControl w:val="0"/>
              <w:shd w:val="clear"/>
              <w:kinsoku/>
              <w:wordWrap/>
              <w:overflowPunct w:val="0"/>
              <w:topLinePunct w:val="0"/>
              <w:autoSpaceDE/>
              <w:autoSpaceDN/>
              <w:bidi w:val="0"/>
              <w:adjustRightInd w:val="0"/>
              <w:snapToGrid w:val="0"/>
              <w:spacing w:line="480" w:lineRule="exact"/>
              <w:jc w:val="both"/>
              <w:textAlignment w:val="auto"/>
              <w:outlineLvl w:val="9"/>
              <w:rPr>
                <w:rFonts w:hint="eastAsia" w:ascii="楷体_GB2312" w:hAnsi="楷体_GB2312" w:eastAsia="楷体_GB2312" w:cs="楷体_GB2312"/>
                <w:color w:val="auto"/>
                <w:sz w:val="28"/>
                <w:szCs w:val="28"/>
                <w:highlight w:val="none"/>
                <w:vertAlign w:val="baseline"/>
                <w:lang w:val="en-US" w:eastAsia="zh-CN"/>
              </w:rPr>
            </w:pPr>
            <w:r>
              <w:rPr>
                <w:rFonts w:hint="eastAsia" w:ascii="楷体_GB2312" w:hAnsi="楷体_GB2312" w:eastAsia="楷体_GB2312" w:cs="楷体_GB2312"/>
                <w:b/>
                <w:bCs/>
                <w:color w:val="auto"/>
                <w:kern w:val="0"/>
                <w:sz w:val="28"/>
                <w:szCs w:val="28"/>
                <w:highlight w:val="none"/>
                <w:lang w:val="en-US" w:eastAsia="zh-CN" w:bidi="ar"/>
              </w:rPr>
              <w:t>6.开放环境优化工程。</w:t>
            </w:r>
            <w:r>
              <w:rPr>
                <w:rFonts w:hint="eastAsia" w:ascii="楷体_GB2312" w:hAnsi="楷体_GB2312" w:eastAsia="楷体_GB2312" w:cs="楷体_GB2312"/>
                <w:b w:val="0"/>
                <w:bCs w:val="0"/>
                <w:color w:val="auto"/>
                <w:kern w:val="0"/>
                <w:sz w:val="28"/>
                <w:szCs w:val="28"/>
                <w:highlight w:val="none"/>
                <w:lang w:val="en-US" w:eastAsia="zh-CN" w:bidi="ar"/>
              </w:rPr>
              <w:t>全面落实外资准入前国民待遇加负面清单管理制度，畅通高端服务业和新兴服务业领域外资引进渠道，提升服务业开放合作水平。</w:t>
            </w:r>
          </w:p>
        </w:tc>
      </w:tr>
    </w:tbl>
    <w:p w14:paraId="5E22868C">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default" w:ascii="黑体" w:hAnsi="黑体" w:eastAsia="黑体" w:cs="黑体"/>
          <w:color w:val="auto"/>
          <w:highlight w:val="none"/>
          <w:lang w:val="en-US" w:eastAsia="zh-CN"/>
        </w:rPr>
      </w:pPr>
      <w:bookmarkStart w:id="96" w:name="_Toc16364"/>
      <w:bookmarkStart w:id="97" w:name="_Toc14374"/>
      <w:r>
        <w:rPr>
          <w:rFonts w:hint="eastAsia" w:ascii="黑体" w:hAnsi="黑体" w:eastAsia="黑体" w:cs="黑体"/>
          <w:color w:val="auto"/>
          <w:highlight w:val="none"/>
          <w:lang w:val="en-US" w:eastAsia="zh-CN"/>
        </w:rPr>
        <w:t>四、培育发展新兴产业和未来产业</w:t>
      </w:r>
      <w:bookmarkEnd w:id="96"/>
      <w:bookmarkEnd w:id="97"/>
    </w:p>
    <w:p w14:paraId="585C57C2">
      <w:pPr>
        <w:keepNext w:val="0"/>
        <w:keepLines w:val="0"/>
        <w:pageBreakBefore w:val="0"/>
        <w:widowControl w:val="0"/>
        <w:shd w:val="clear"/>
        <w:kinsoku/>
        <w:wordWrap/>
        <w:overflowPunct w:val="0"/>
        <w:topLinePunct w:val="0"/>
        <w:autoSpaceDE/>
        <w:autoSpaceDN/>
        <w:bidi w:val="0"/>
        <w:adjustRightInd w:val="0"/>
        <w:snapToGrid w:val="0"/>
        <w:spacing w:line="600" w:lineRule="exact"/>
        <w:ind w:left="0" w:leftChars="0" w:firstLine="640"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坚持以创新驱动为引领，以场景开放为牵引，推动新技术、新业态、新模式与传统产业深度融合，前瞻布局前沿领域，积极培育新的经济增长点，为经济高质量发展注入强劲动力。</w:t>
      </w:r>
    </w:p>
    <w:p w14:paraId="1CB34EFE">
      <w:pPr>
        <w:pStyle w:val="8"/>
        <w:keepNext w:val="0"/>
        <w:keepLines w:val="0"/>
        <w:pageBreakBefore w:val="0"/>
        <w:widowControl w:val="0"/>
        <w:shd w:val="clear"/>
        <w:kinsoku/>
        <w:wordWrap/>
        <w:overflowPunct w:val="0"/>
        <w:topLinePunct w:val="0"/>
        <w:autoSpaceDE/>
        <w:autoSpaceDN/>
        <w:bidi w:val="0"/>
        <w:spacing w:after="0"/>
        <w:ind w:left="0" w:leftChars="0"/>
        <w:jc w:val="both"/>
        <w:textAlignment w:val="auto"/>
        <w:outlineLvl w:val="9"/>
        <w:rPr>
          <w:rFonts w:hint="eastAsia" w:eastAsia="仿宋_GB2312"/>
          <w:b w:val="0"/>
          <w:bCs w:val="0"/>
          <w:color w:val="auto"/>
          <w:kern w:val="2"/>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bidi="ar-SA"/>
        </w:rPr>
        <w:t>（一）大力培育壮大新兴产业</w:t>
      </w:r>
      <w:r>
        <w:rPr>
          <w:rFonts w:hint="eastAsia" w:ascii="仿宋_GB2312" w:hAnsi="仿宋_GB2312" w:eastAsia="仿宋_GB2312" w:cs="仿宋_GB2312"/>
          <w:color w:val="auto"/>
          <w:sz w:val="32"/>
          <w:szCs w:val="32"/>
          <w:highlight w:val="none"/>
          <w:lang w:val="en-US" w:eastAsia="zh-CN" w:bidi="ar-SA"/>
        </w:rPr>
        <w:t>。重点承接与发展集成电路、人工智能、低空经济等战新产业，构建多元支撑的现代产业体系。着力引入半导体封装测试、高端传感器等关键环节，规划建设专业化制造园区，填补并做强产业链条。积极对接省市“人工智能</w:t>
      </w:r>
      <w:r>
        <w:rPr>
          <w:rFonts w:hint="eastAsia" w:eastAsia="仿宋_GB2312" w:cs="仿宋_GB2312"/>
          <w:color w:val="auto"/>
          <w:sz w:val="32"/>
          <w:szCs w:val="32"/>
          <w:highlight w:val="none"/>
          <w:shd w:val="clear" w:fill="FFFFFF"/>
          <w:lang w:val="en-US" w:eastAsia="zh-CN" w:bidi="ar-SA"/>
        </w:rPr>
        <w:t>＋</w:t>
      </w:r>
      <w:r>
        <w:rPr>
          <w:rFonts w:hint="eastAsia" w:ascii="仿宋_GB2312" w:hAnsi="仿宋_GB2312" w:eastAsia="仿宋_GB2312" w:cs="仿宋_GB2312"/>
          <w:color w:val="auto"/>
          <w:sz w:val="32"/>
          <w:szCs w:val="32"/>
          <w:highlight w:val="none"/>
          <w:shd w:val="clear" w:fill="FFFFFF"/>
          <w:lang w:val="en-US" w:eastAsia="zh-CN" w:bidi="ar-SA"/>
        </w:rPr>
        <w:t>”行动</w:t>
      </w:r>
      <w:r>
        <w:rPr>
          <w:rFonts w:hint="eastAsia" w:ascii="仿宋_GB2312" w:hAnsi="仿宋_GB2312" w:eastAsia="仿宋_GB2312" w:cs="仿宋_GB2312"/>
          <w:color w:val="auto"/>
          <w:sz w:val="32"/>
          <w:szCs w:val="32"/>
          <w:highlight w:val="none"/>
          <w:lang w:val="en-US" w:eastAsia="zh-CN" w:bidi="ar-SA"/>
        </w:rPr>
        <w:t>计划，推动智能算法与本地智能制造、智慧物流等场景深度融合，探索建设应用创新中心。规划建设</w:t>
      </w:r>
      <w:r>
        <w:rPr>
          <w:rFonts w:hint="eastAsia" w:eastAsia="仿宋_GB2312" w:cs="仿宋_GB2312"/>
          <w:color w:val="auto"/>
          <w:sz w:val="32"/>
          <w:szCs w:val="32"/>
          <w:highlight w:val="none"/>
          <w:lang w:val="en-US" w:eastAsia="zh-CN" w:bidi="ar-SA"/>
        </w:rPr>
        <w:t>低空经济</w:t>
      </w:r>
      <w:r>
        <w:rPr>
          <w:rFonts w:hint="eastAsia" w:ascii="仿宋_GB2312" w:hAnsi="仿宋_GB2312" w:eastAsia="仿宋_GB2312" w:cs="仿宋_GB2312"/>
          <w:color w:val="auto"/>
          <w:sz w:val="32"/>
          <w:szCs w:val="32"/>
          <w:highlight w:val="none"/>
          <w:lang w:val="en-US" w:eastAsia="zh-CN" w:bidi="ar-SA"/>
        </w:rPr>
        <w:t>综合性测试场，完善起降点网络，</w:t>
      </w:r>
      <w:r>
        <w:rPr>
          <w:rFonts w:hint="eastAsia" w:eastAsia="仿宋_GB2312" w:cs="仿宋_GB2312"/>
          <w:color w:val="auto"/>
          <w:sz w:val="32"/>
          <w:szCs w:val="32"/>
          <w:highlight w:val="none"/>
          <w:lang w:val="en-US" w:eastAsia="zh-CN" w:bidi="ar-SA"/>
        </w:rPr>
        <w:t>打造低空经济应用场景，</w:t>
      </w:r>
      <w:r>
        <w:rPr>
          <w:rFonts w:hint="eastAsia" w:ascii="仿宋_GB2312" w:hAnsi="仿宋_GB2312" w:eastAsia="仿宋_GB2312" w:cs="仿宋_GB2312"/>
          <w:color w:val="auto"/>
          <w:sz w:val="32"/>
          <w:szCs w:val="32"/>
          <w:highlight w:val="none"/>
          <w:lang w:val="en-US" w:eastAsia="zh-CN" w:bidi="ar-SA"/>
        </w:rPr>
        <w:t>重点培育无人机整机研发、核心部件制造、航空新材料等产业，并拓展其在物流配送、城市治理、应急救援等领域的应用，构建“研发</w:t>
      </w:r>
      <w:r>
        <w:rPr>
          <w:rFonts w:hint="eastAsia" w:eastAsia="仿宋_GB2312" w:cs="仿宋_GB2312"/>
          <w:color w:val="auto"/>
          <w:sz w:val="32"/>
          <w:szCs w:val="32"/>
          <w:highlight w:val="none"/>
          <w:lang w:val="en-US" w:eastAsia="zh-CN" w:bidi="ar-SA"/>
        </w:rPr>
        <w:t>-</w:t>
      </w:r>
      <w:r>
        <w:rPr>
          <w:rFonts w:hint="eastAsia" w:ascii="仿宋_GB2312" w:hAnsi="仿宋_GB2312" w:eastAsia="仿宋_GB2312" w:cs="仿宋_GB2312"/>
          <w:color w:val="auto"/>
          <w:sz w:val="32"/>
          <w:szCs w:val="32"/>
          <w:highlight w:val="none"/>
          <w:lang w:val="en-US" w:eastAsia="zh-CN" w:bidi="ar-SA"/>
        </w:rPr>
        <w:t>测试</w:t>
      </w:r>
      <w:r>
        <w:rPr>
          <w:rFonts w:hint="eastAsia" w:eastAsia="仿宋_GB2312" w:cs="仿宋_GB2312"/>
          <w:color w:val="auto"/>
          <w:sz w:val="32"/>
          <w:szCs w:val="32"/>
          <w:highlight w:val="none"/>
          <w:lang w:val="en-US" w:eastAsia="zh-CN" w:bidi="ar-SA"/>
        </w:rPr>
        <w:t>-</w:t>
      </w:r>
      <w:r>
        <w:rPr>
          <w:rFonts w:hint="eastAsia" w:ascii="仿宋_GB2312" w:hAnsi="仿宋_GB2312" w:eastAsia="仿宋_GB2312" w:cs="仿宋_GB2312"/>
          <w:color w:val="auto"/>
          <w:sz w:val="32"/>
          <w:szCs w:val="32"/>
          <w:highlight w:val="none"/>
          <w:lang w:val="en-US" w:eastAsia="zh-CN" w:bidi="ar-SA"/>
        </w:rPr>
        <w:t>制造</w:t>
      </w:r>
      <w:r>
        <w:rPr>
          <w:rFonts w:hint="eastAsia" w:eastAsia="仿宋_GB2312" w:cs="仿宋_GB2312"/>
          <w:color w:val="auto"/>
          <w:sz w:val="32"/>
          <w:szCs w:val="32"/>
          <w:highlight w:val="none"/>
          <w:lang w:val="en-US" w:eastAsia="zh-CN" w:bidi="ar-SA"/>
        </w:rPr>
        <w:t>-</w:t>
      </w:r>
      <w:r>
        <w:rPr>
          <w:rFonts w:hint="eastAsia" w:ascii="仿宋_GB2312" w:hAnsi="仿宋_GB2312" w:eastAsia="仿宋_GB2312" w:cs="仿宋_GB2312"/>
          <w:color w:val="auto"/>
          <w:sz w:val="32"/>
          <w:szCs w:val="32"/>
          <w:highlight w:val="none"/>
          <w:lang w:val="en-US" w:eastAsia="zh-CN" w:bidi="ar-SA"/>
        </w:rPr>
        <w:t>运营”的低空全产业链生态。布局新型储能、绿色低碳技术等潜力赛道，推动战略性新兴产业集聚成势，为济阳建设高质量北部中心城区打造核心引擎。</w:t>
      </w:r>
    </w:p>
    <w:p w14:paraId="763F4E0C">
      <w:pPr>
        <w:keepNext w:val="0"/>
        <w:keepLines w:val="0"/>
        <w:pageBreakBefore w:val="0"/>
        <w:widowControl w:val="0"/>
        <w:shd w:val="clear"/>
        <w:kinsoku/>
        <w:wordWrap/>
        <w:overflowPunct w:val="0"/>
        <w:topLinePunct w:val="0"/>
        <w:autoSpaceDE/>
        <w:autoSpaceDN/>
        <w:bidi w:val="0"/>
        <w:adjustRightInd w:val="0"/>
        <w:snapToGrid w:val="0"/>
        <w:spacing w:line="600" w:lineRule="exact"/>
        <w:ind w:left="0" w:leftChars="0" w:firstLine="640" w:firstLineChars="200"/>
        <w:jc w:val="both"/>
        <w:textAlignment w:val="auto"/>
        <w:outlineLvl w:val="9"/>
        <w:rPr>
          <w:rFonts w:hint="eastAsia"/>
          <w:color w:val="auto"/>
          <w:spacing w:val="0"/>
          <w:kern w:val="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（二）积极培育新业态新模式。</w:t>
      </w:r>
      <w:r>
        <w:rPr>
          <w:rFonts w:hint="eastAsia" w:cs="仿宋_GB2312"/>
          <w:color w:val="auto"/>
          <w:kern w:val="2"/>
          <w:sz w:val="32"/>
          <w:szCs w:val="32"/>
          <w:highlight w:val="none"/>
          <w:lang w:val="en-US" w:eastAsia="zh-CN"/>
        </w:rPr>
        <w:t>发展</w:t>
      </w:r>
      <w:r>
        <w:rPr>
          <w:rFonts w:hint="eastAsia"/>
          <w:color w:val="auto"/>
          <w:spacing w:val="0"/>
          <w:kern w:val="2"/>
          <w:szCs w:val="32"/>
          <w:highlight w:val="none"/>
          <w:lang w:val="en-US" w:eastAsia="zh-CN"/>
        </w:rPr>
        <w:t>数字消费、绿色消费、健康消费，培育赛事经济、银发经济、首发经济，持续释放新能源汽车、家居家电、电子产品等大宗商品消费潜力。促进互联网、大数据、人工智能和实体经济深度融合，支持企业实施数字化、智能化、绿色化改造。大力发展数字经济，推动网络购物、移动支付、直播电商、在线诊疗、远程办公、跨境电商等新业态规范成长，鼓励发展个性化定制、共享制造、全生命周期管理等服务型制造模式。谋划推动人工智能产业项目建设，招引人工智能相关企业，力争打造区域性人工智能技术应用与产业培育基地。</w:t>
      </w:r>
    </w:p>
    <w:p w14:paraId="50EF8EE7">
      <w:pPr>
        <w:keepNext w:val="0"/>
        <w:keepLines w:val="0"/>
        <w:pageBreakBefore w:val="0"/>
        <w:widowControl w:val="0"/>
        <w:shd w:val="clear"/>
        <w:kinsoku/>
        <w:wordWrap/>
        <w:overflowPunct w:val="0"/>
        <w:topLinePunct w:val="0"/>
        <w:autoSpaceDE/>
        <w:autoSpaceDN/>
        <w:bidi w:val="0"/>
        <w:adjustRightInd w:val="0"/>
        <w:snapToGrid w:val="0"/>
        <w:spacing w:line="600" w:lineRule="exact"/>
        <w:ind w:left="0" w:leftChars="0" w:firstLine="640" w:firstLineChars="200"/>
        <w:jc w:val="both"/>
        <w:textAlignment w:val="auto"/>
        <w:outlineLvl w:val="9"/>
        <w:rPr>
          <w:rFonts w:hint="eastAsia" w:eastAsia="仿宋_GB2312"/>
          <w:color w:val="auto"/>
          <w:spacing w:val="0"/>
          <w:kern w:val="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（三）前瞻布局未来产业新赛道。</w:t>
      </w:r>
      <w:r>
        <w:rPr>
          <w:rFonts w:hint="eastAsia" w:ascii="Times New Roman" w:hAnsi="Times New Roman"/>
          <w:color w:val="auto"/>
          <w:szCs w:val="32"/>
          <w:highlight w:val="none"/>
        </w:rPr>
        <w:t>实施“未来产业引领”计划，</w:t>
      </w:r>
      <w:r>
        <w:rPr>
          <w:rFonts w:hint="eastAsia"/>
          <w:color w:val="auto"/>
          <w:spacing w:val="0"/>
          <w:kern w:val="2"/>
          <w:szCs w:val="32"/>
          <w:highlight w:val="none"/>
          <w:lang w:val="en-US" w:eastAsia="zh-CN"/>
        </w:rPr>
        <w:t>面向基因技术、具身智能、元宇宙等领域，结合全区产业基础与重大工程项目，培育打造一批应用场景，支持新技术、新业态、新模式的规模化验证与推广。</w:t>
      </w:r>
      <w:r>
        <w:rPr>
          <w:rFonts w:hint="eastAsia" w:ascii="Times New Roman" w:hAnsi="Times New Roman"/>
          <w:color w:val="auto"/>
          <w:szCs w:val="32"/>
          <w:highlight w:val="none"/>
          <w:lang w:val="en-US" w:eastAsia="zh-CN"/>
        </w:rPr>
        <w:t>依托海峡两岸新旧动能转换产业合作区，力争</w:t>
      </w:r>
      <w:r>
        <w:rPr>
          <w:rFonts w:hint="eastAsia" w:ascii="Times New Roman" w:hAnsi="Times New Roman"/>
          <w:color w:val="auto"/>
          <w:szCs w:val="32"/>
          <w:highlight w:val="none"/>
        </w:rPr>
        <w:t>建设一批未来产业孵化器、加速器等各类众创空间，打造一批未来产业培育和发展的园区，引导未来产业集聚发展。</w:t>
      </w:r>
    </w:p>
    <w:bookmarkEnd w:id="54"/>
    <w:bookmarkEnd w:id="55"/>
    <w:bookmarkEnd w:id="56"/>
    <w:bookmarkEnd w:id="57"/>
    <w:bookmarkEnd w:id="58"/>
    <w:bookmarkEnd w:id="59"/>
    <w:bookmarkEnd w:id="60"/>
    <w:bookmarkEnd w:id="61"/>
    <w:bookmarkEnd w:id="62"/>
    <w:bookmarkEnd w:id="63"/>
    <w:bookmarkEnd w:id="64"/>
    <w:p w14:paraId="3623E3FD">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98" w:name="_Toc5390"/>
      <w:bookmarkStart w:id="99" w:name="_Toc8835"/>
      <w:bookmarkStart w:id="100" w:name="_Toc1067"/>
      <w:bookmarkStart w:id="101" w:name="_Toc12926"/>
      <w:bookmarkStart w:id="102" w:name="_Toc3883"/>
      <w:bookmarkStart w:id="103" w:name="_Toc380"/>
      <w:bookmarkStart w:id="104" w:name="_Toc15378"/>
      <w:bookmarkStart w:id="105" w:name="_Toc16850"/>
      <w:bookmarkStart w:id="106" w:name="_Toc4921"/>
      <w:bookmarkStart w:id="107" w:name="_Toc4244"/>
      <w:bookmarkStart w:id="108" w:name="_Toc5441"/>
      <w:bookmarkStart w:id="109" w:name="_Toc18634"/>
      <w:bookmarkStart w:id="110" w:name="_Toc5486"/>
      <w:bookmarkStart w:id="111" w:name="_Toc22136"/>
      <w:r>
        <w:rPr>
          <w:rFonts w:hint="eastAsia" w:ascii="黑体" w:hAnsi="黑体" w:eastAsia="黑体" w:cs="黑体"/>
          <w:color w:val="auto"/>
          <w:highlight w:val="none"/>
          <w:lang w:val="en-US" w:eastAsia="zh-CN"/>
        </w:rPr>
        <w:t>五、持续优化产业生态</w:t>
      </w:r>
      <w:bookmarkEnd w:id="98"/>
      <w:bookmarkEnd w:id="99"/>
      <w:bookmarkEnd w:id="100"/>
      <w:bookmarkEnd w:id="101"/>
      <w:bookmarkEnd w:id="102"/>
      <w:bookmarkEnd w:id="103"/>
      <w:bookmarkEnd w:id="104"/>
      <w:bookmarkEnd w:id="105"/>
    </w:p>
    <w:p w14:paraId="6A1ECAB5">
      <w:pPr>
        <w:keepNext w:val="0"/>
        <w:keepLines w:val="0"/>
        <w:pageBreakBefore w:val="0"/>
        <w:widowControl w:val="0"/>
        <w:shd w:val="clear"/>
        <w:kinsoku/>
        <w:wordWrap/>
        <w:overflowPunct w:val="0"/>
        <w:topLinePunct w:val="0"/>
        <w:autoSpaceDE/>
        <w:autoSpaceDN/>
        <w:bidi w:val="0"/>
        <w:jc w:val="both"/>
        <w:textAlignment w:val="auto"/>
        <w:outlineLvl w:val="9"/>
        <w:rPr>
          <w:rFonts w:hint="eastAsia"/>
          <w:color w:val="auto"/>
          <w:highlight w:val="none"/>
          <w:lang w:val="en-US" w:eastAsia="zh-CN"/>
        </w:rPr>
      </w:pPr>
      <w:r>
        <w:rPr>
          <w:rFonts w:hint="eastAsia"/>
          <w:color w:val="auto"/>
          <w:highlight w:val="none"/>
          <w:lang w:val="en-US" w:eastAsia="zh-CN"/>
        </w:rPr>
        <w:t>紧扣产业发展方向和市场需求，优化组织结构和空间布局，提高招商引资质效，强化高效产业政策支持，打造充满活力、共融互通的优质产业生态。</w:t>
      </w:r>
    </w:p>
    <w:p w14:paraId="648F0208">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lang w:val="en-US" w:eastAsia="zh-CN"/>
        </w:rPr>
        <w:t>（一）优化产业空间布局。</w:t>
      </w:r>
      <w:r>
        <w:rPr>
          <w:rFonts w:hint="eastAsia" w:ascii="仿宋_GB2312"/>
          <w:color w:val="auto"/>
          <w:highlight w:val="none"/>
        </w:rPr>
        <w:t>强化重点产业集聚区引领作用</w:t>
      </w:r>
      <w:r>
        <w:rPr>
          <w:rFonts w:hint="eastAsia" w:ascii="仿宋_GB2312" w:hAnsi="仿宋_GB2312" w:eastAsia="仿宋_GB2312" w:cs="仿宋_GB2312"/>
          <w:color w:val="auto"/>
          <w:kern w:val="0"/>
          <w:sz w:val="32"/>
          <w:szCs w:val="32"/>
          <w:highlight w:val="none"/>
          <w:lang w:val="en-US" w:eastAsia="zh-CN" w:bidi="ar"/>
        </w:rPr>
        <w:t>，构建“一区两园、一轴双廊”的产业空间布局</w:t>
      </w:r>
      <w:r>
        <w:rPr>
          <w:rFonts w:hint="eastAsia" w:cs="仿宋_GB2312"/>
          <w:color w:val="auto"/>
          <w:kern w:val="0"/>
          <w:sz w:val="32"/>
          <w:szCs w:val="32"/>
          <w:highlight w:val="none"/>
          <w:lang w:val="en-US" w:eastAsia="zh-CN" w:bidi="ar"/>
        </w:rPr>
        <w:t>，</w:t>
      </w:r>
      <w:r>
        <w:rPr>
          <w:rFonts w:hint="eastAsia" w:ascii="仿宋_GB2312"/>
          <w:color w:val="auto"/>
          <w:highlight w:val="none"/>
        </w:rPr>
        <w:t>形成优势突出的特色集群</w:t>
      </w:r>
      <w:r>
        <w:rPr>
          <w:rFonts w:hint="eastAsia" w:ascii="仿宋_GB2312" w:hAnsi="仿宋_GB2312" w:eastAsia="仿宋_GB2312" w:cs="仿宋_GB2312"/>
          <w:color w:val="auto"/>
          <w:kern w:val="0"/>
          <w:sz w:val="32"/>
          <w:szCs w:val="32"/>
          <w:highlight w:val="none"/>
          <w:lang w:val="en-US" w:eastAsia="zh-CN" w:bidi="ar"/>
        </w:rPr>
        <w:t>。</w:t>
      </w:r>
      <w:r>
        <w:rPr>
          <w:rFonts w:hint="eastAsia" w:cs="仿宋_GB2312"/>
          <w:b/>
          <w:bCs/>
          <w:color w:val="auto"/>
          <w:kern w:val="0"/>
          <w:sz w:val="32"/>
          <w:szCs w:val="32"/>
          <w:highlight w:val="none"/>
          <w:lang w:val="en-US" w:eastAsia="zh-CN" w:bidi="ar"/>
        </w:rPr>
        <w:t>“一区”，即</w:t>
      </w:r>
      <w:r>
        <w:rPr>
          <w:rFonts w:hint="eastAsia" w:ascii="仿宋_GB2312" w:hAnsi="仿宋_GB2312" w:eastAsia="仿宋_GB2312" w:cs="仿宋_GB2312"/>
          <w:b/>
          <w:bCs/>
          <w:color w:val="auto"/>
          <w:kern w:val="0"/>
          <w:sz w:val="32"/>
          <w:szCs w:val="32"/>
          <w:highlight w:val="none"/>
          <w:lang w:val="en-US" w:eastAsia="zh-CN" w:bidi="ar"/>
        </w:rPr>
        <w:t>海峡两岸新旧动能转换产业合作区。</w:t>
      </w:r>
      <w:r>
        <w:rPr>
          <w:rFonts w:hint="eastAsia" w:ascii="仿宋_GB2312" w:hAnsi="仿宋_GB2312" w:eastAsia="仿宋_GB2312" w:cs="仿宋_GB2312"/>
          <w:color w:val="auto"/>
          <w:kern w:val="0"/>
          <w:sz w:val="32"/>
          <w:szCs w:val="32"/>
          <w:highlight w:val="none"/>
          <w:lang w:val="en-US" w:eastAsia="zh-CN" w:bidi="ar"/>
        </w:rPr>
        <w:t>建设食品医药健康产业园、先进制造产业园和对台交流综合服务中心，形成“两园一中心”空间发展格局</w:t>
      </w:r>
      <w:r>
        <w:rPr>
          <w:rFonts w:hint="eastAsia"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val="en-US" w:eastAsia="zh-CN" w:bidi="ar"/>
        </w:rPr>
        <w:t>加快传统优势产业转型升级，培育壮大战略性新兴产业。</w:t>
      </w:r>
      <w:r>
        <w:rPr>
          <w:rFonts w:hint="eastAsia" w:cs="仿宋_GB2312"/>
          <w:b/>
          <w:bCs/>
          <w:color w:val="auto"/>
          <w:kern w:val="0"/>
          <w:sz w:val="32"/>
          <w:szCs w:val="32"/>
          <w:highlight w:val="none"/>
          <w:lang w:val="en-US" w:eastAsia="zh-CN" w:bidi="ar"/>
        </w:rPr>
        <w:t>“</w:t>
      </w:r>
      <w:r>
        <w:rPr>
          <w:rFonts w:hint="eastAsia" w:ascii="仿宋_GB2312" w:hAnsi="仿宋_GB2312" w:eastAsia="仿宋_GB2312" w:cs="仿宋_GB2312"/>
          <w:b/>
          <w:bCs/>
          <w:color w:val="auto"/>
          <w:kern w:val="0"/>
          <w:sz w:val="32"/>
          <w:szCs w:val="32"/>
          <w:highlight w:val="none"/>
          <w:lang w:val="en-US" w:eastAsia="zh-CN" w:bidi="ar"/>
        </w:rPr>
        <w:t>两园</w:t>
      </w:r>
      <w:r>
        <w:rPr>
          <w:rFonts w:hint="eastAsia" w:cs="仿宋_GB2312"/>
          <w:b/>
          <w:bCs/>
          <w:color w:val="auto"/>
          <w:kern w:val="0"/>
          <w:sz w:val="32"/>
          <w:szCs w:val="32"/>
          <w:highlight w:val="none"/>
          <w:lang w:val="en-US" w:eastAsia="zh-CN" w:bidi="ar"/>
        </w:rPr>
        <w:t>”，即</w:t>
      </w:r>
      <w:r>
        <w:rPr>
          <w:rFonts w:hint="eastAsia" w:ascii="仿宋_GB2312" w:hAnsi="仿宋_GB2312" w:eastAsia="仿宋_GB2312" w:cs="仿宋_GB2312"/>
          <w:b/>
          <w:bCs/>
          <w:color w:val="auto"/>
          <w:kern w:val="0"/>
          <w:sz w:val="32"/>
          <w:szCs w:val="32"/>
          <w:highlight w:val="none"/>
          <w:lang w:val="en-US" w:eastAsia="zh-CN" w:bidi="ar"/>
        </w:rPr>
        <w:t>食品医药健康产业园和先进制造产业园。</w:t>
      </w:r>
      <w:r>
        <w:rPr>
          <w:rFonts w:hint="eastAsia" w:ascii="仿宋_GB2312" w:hAnsi="仿宋_GB2312" w:eastAsia="仿宋_GB2312" w:cs="仿宋_GB2312"/>
          <w:color w:val="auto"/>
          <w:kern w:val="0"/>
          <w:sz w:val="32"/>
          <w:szCs w:val="32"/>
          <w:highlight w:val="none"/>
          <w:lang w:val="en-US" w:eastAsia="zh-CN" w:bidi="ar"/>
        </w:rPr>
        <w:t>食品医药健康产业园以</w:t>
      </w:r>
      <w:r>
        <w:rPr>
          <w:rFonts w:hint="eastAsia" w:cs="仿宋_GB2312"/>
          <w:color w:val="auto"/>
          <w:kern w:val="0"/>
          <w:sz w:val="32"/>
          <w:szCs w:val="32"/>
          <w:highlight w:val="none"/>
          <w:lang w:val="en-US" w:eastAsia="zh-CN" w:bidi="ar"/>
        </w:rPr>
        <w:t>山东济北经济开发区</w:t>
      </w:r>
      <w:r>
        <w:rPr>
          <w:rFonts w:hint="eastAsia" w:ascii="仿宋_GB2312" w:hAnsi="仿宋_GB2312" w:eastAsia="仿宋_GB2312" w:cs="仿宋_GB2312"/>
          <w:color w:val="auto"/>
          <w:kern w:val="0"/>
          <w:sz w:val="32"/>
          <w:szCs w:val="32"/>
          <w:highlight w:val="none"/>
          <w:lang w:val="en-US" w:eastAsia="zh-CN" w:bidi="ar"/>
        </w:rPr>
        <w:t>为主要承载，重点发展健康食品、</w:t>
      </w:r>
      <w:r>
        <w:rPr>
          <w:rFonts w:hint="eastAsia" w:cs="仿宋_GB2312"/>
          <w:color w:val="auto"/>
          <w:kern w:val="0"/>
          <w:sz w:val="32"/>
          <w:szCs w:val="32"/>
          <w:highlight w:val="none"/>
          <w:lang w:val="en-US" w:eastAsia="zh-CN" w:bidi="ar"/>
        </w:rPr>
        <w:t>特殊食品</w:t>
      </w:r>
      <w:r>
        <w:rPr>
          <w:rFonts w:hint="eastAsia" w:ascii="仿宋_GB2312" w:hAnsi="仿宋_GB2312" w:eastAsia="仿宋_GB2312" w:cs="仿宋_GB2312"/>
          <w:color w:val="auto"/>
          <w:kern w:val="0"/>
          <w:sz w:val="32"/>
          <w:szCs w:val="32"/>
          <w:highlight w:val="none"/>
          <w:lang w:val="en-US" w:eastAsia="zh-CN" w:bidi="ar"/>
        </w:rPr>
        <w:t>、现代中药、医疗器械、医用耗材和健身器械等产业企业；先进制造产业园以</w:t>
      </w:r>
      <w:r>
        <w:rPr>
          <w:rFonts w:hint="eastAsia" w:cs="仿宋_GB2312"/>
          <w:color w:val="auto"/>
          <w:kern w:val="0"/>
          <w:sz w:val="32"/>
          <w:szCs w:val="32"/>
          <w:highlight w:val="none"/>
          <w:lang w:val="en-US" w:eastAsia="zh-CN" w:bidi="ar"/>
        </w:rPr>
        <w:t>济南新旧动能转换起步区</w:t>
      </w:r>
      <w:r>
        <w:rPr>
          <w:rFonts w:hint="eastAsia" w:ascii="仿宋_GB2312" w:hAnsi="仿宋_GB2312" w:eastAsia="仿宋_GB2312" w:cs="仿宋_GB2312"/>
          <w:color w:val="auto"/>
          <w:kern w:val="0"/>
          <w:sz w:val="32"/>
          <w:szCs w:val="32"/>
          <w:highlight w:val="none"/>
          <w:lang w:val="en-US" w:eastAsia="zh-CN" w:bidi="ar"/>
        </w:rPr>
        <w:t>紧密协作区为主要承载，重点发展智能制造与高端装备、新能源汽车、智能家居等产业功能。</w:t>
      </w:r>
      <w:r>
        <w:rPr>
          <w:rFonts w:hint="eastAsia" w:cs="仿宋_GB2312"/>
          <w:b/>
          <w:bCs/>
          <w:color w:val="auto"/>
          <w:kern w:val="0"/>
          <w:sz w:val="32"/>
          <w:szCs w:val="32"/>
          <w:highlight w:val="none"/>
          <w:lang w:val="en-US" w:eastAsia="zh-CN" w:bidi="ar"/>
        </w:rPr>
        <w:t>“</w:t>
      </w:r>
      <w:r>
        <w:rPr>
          <w:rFonts w:hint="eastAsia" w:ascii="仿宋_GB2312" w:hAnsi="仿宋_GB2312" w:eastAsia="仿宋_GB2312" w:cs="仿宋_GB2312"/>
          <w:b/>
          <w:bCs/>
          <w:color w:val="auto"/>
          <w:kern w:val="0"/>
          <w:sz w:val="32"/>
          <w:szCs w:val="32"/>
          <w:highlight w:val="none"/>
          <w:lang w:val="en-US" w:eastAsia="zh-CN" w:bidi="ar"/>
        </w:rPr>
        <w:t>一轴</w:t>
      </w:r>
      <w:r>
        <w:rPr>
          <w:rFonts w:hint="eastAsia" w:cs="仿宋_GB2312"/>
          <w:b/>
          <w:bCs/>
          <w:color w:val="auto"/>
          <w:kern w:val="0"/>
          <w:sz w:val="32"/>
          <w:szCs w:val="32"/>
          <w:highlight w:val="none"/>
          <w:lang w:val="en-US" w:eastAsia="zh-CN" w:bidi="ar"/>
        </w:rPr>
        <w:t>”，即黄河大道</w:t>
      </w:r>
      <w:r>
        <w:rPr>
          <w:rFonts w:hint="eastAsia" w:ascii="仿宋_GB2312" w:hAnsi="仿宋_GB2312" w:eastAsia="仿宋_GB2312" w:cs="仿宋_GB2312"/>
          <w:b/>
          <w:bCs/>
          <w:color w:val="auto"/>
          <w:kern w:val="0"/>
          <w:sz w:val="32"/>
          <w:szCs w:val="32"/>
          <w:highlight w:val="none"/>
          <w:lang w:val="en-US" w:eastAsia="zh-CN" w:bidi="ar"/>
        </w:rPr>
        <w:t>科技创新轴。</w:t>
      </w:r>
      <w:r>
        <w:rPr>
          <w:rFonts w:hint="eastAsia" w:ascii="仿宋_GB2312" w:hAnsi="仿宋_GB2312" w:eastAsia="仿宋_GB2312" w:cs="仿宋_GB2312"/>
          <w:color w:val="auto"/>
          <w:kern w:val="0"/>
          <w:sz w:val="32"/>
          <w:szCs w:val="32"/>
          <w:highlight w:val="none"/>
          <w:lang w:val="en-US" w:eastAsia="zh-CN" w:bidi="ar"/>
        </w:rPr>
        <w:t>聚焦前沿技术和未来产业培育，吸引集聚创新资源要素，建设高能级科技创新平台，构筑全要素创新生态体系，大力发展总部经济、楼宇经济、高端商务和科技金融等现代服务业，完善生活设施配套，打造创新资源密集、服务链条完善的科技服务生态圈与产城融合功能区。</w:t>
      </w:r>
      <w:r>
        <w:rPr>
          <w:rFonts w:hint="eastAsia" w:cs="仿宋_GB2312"/>
          <w:b/>
          <w:bCs/>
          <w:color w:val="auto"/>
          <w:kern w:val="0"/>
          <w:sz w:val="32"/>
          <w:szCs w:val="32"/>
          <w:highlight w:val="none"/>
          <w:lang w:val="en-US" w:eastAsia="zh-CN" w:bidi="ar"/>
        </w:rPr>
        <w:t>“</w:t>
      </w:r>
      <w:r>
        <w:rPr>
          <w:rFonts w:hint="eastAsia" w:ascii="仿宋_GB2312" w:hAnsi="仿宋_GB2312" w:eastAsia="仿宋_GB2312" w:cs="仿宋_GB2312"/>
          <w:b/>
          <w:bCs/>
          <w:color w:val="auto"/>
          <w:kern w:val="0"/>
          <w:sz w:val="32"/>
          <w:szCs w:val="32"/>
          <w:highlight w:val="none"/>
          <w:lang w:val="en-US" w:eastAsia="zh-CN" w:bidi="ar"/>
        </w:rPr>
        <w:t>双廊</w:t>
      </w:r>
      <w:r>
        <w:rPr>
          <w:rFonts w:hint="eastAsia" w:cs="仿宋_GB2312"/>
          <w:b/>
          <w:bCs/>
          <w:color w:val="auto"/>
          <w:kern w:val="0"/>
          <w:sz w:val="32"/>
          <w:szCs w:val="32"/>
          <w:highlight w:val="none"/>
          <w:lang w:val="en-US" w:eastAsia="zh-CN" w:bidi="ar"/>
        </w:rPr>
        <w:t>”，即</w:t>
      </w:r>
      <w:r>
        <w:rPr>
          <w:rFonts w:hint="eastAsia" w:ascii="仿宋_GB2312" w:hAnsi="仿宋_GB2312" w:eastAsia="仿宋_GB2312" w:cs="仿宋_GB2312"/>
          <w:b/>
          <w:bCs/>
          <w:color w:val="auto"/>
          <w:kern w:val="0"/>
          <w:sz w:val="32"/>
          <w:szCs w:val="32"/>
          <w:highlight w:val="none"/>
          <w:lang w:val="en-US" w:eastAsia="zh-CN" w:bidi="ar"/>
        </w:rPr>
        <w:t>黄河生态农耕廊</w:t>
      </w:r>
      <w:r>
        <w:rPr>
          <w:rFonts w:hint="eastAsia" w:cs="仿宋_GB2312"/>
          <w:b/>
          <w:bCs/>
          <w:color w:val="auto"/>
          <w:kern w:val="0"/>
          <w:sz w:val="32"/>
          <w:szCs w:val="32"/>
          <w:highlight w:val="none"/>
          <w:lang w:val="en-US" w:eastAsia="zh-CN" w:bidi="ar"/>
        </w:rPr>
        <w:t>道</w:t>
      </w:r>
      <w:r>
        <w:rPr>
          <w:rFonts w:hint="eastAsia" w:ascii="仿宋_GB2312" w:hAnsi="仿宋_GB2312" w:eastAsia="仿宋_GB2312" w:cs="仿宋_GB2312"/>
          <w:b/>
          <w:bCs/>
          <w:color w:val="auto"/>
          <w:kern w:val="0"/>
          <w:sz w:val="32"/>
          <w:szCs w:val="32"/>
          <w:highlight w:val="none"/>
          <w:lang w:val="en-US" w:eastAsia="zh-CN" w:bidi="ar"/>
        </w:rPr>
        <w:t>和徒骇河果香文旅廊</w:t>
      </w:r>
      <w:r>
        <w:rPr>
          <w:rFonts w:hint="eastAsia" w:cs="仿宋_GB2312"/>
          <w:b/>
          <w:bCs/>
          <w:color w:val="auto"/>
          <w:kern w:val="0"/>
          <w:sz w:val="32"/>
          <w:szCs w:val="32"/>
          <w:highlight w:val="none"/>
          <w:lang w:val="en-US" w:eastAsia="zh-CN" w:bidi="ar"/>
        </w:rPr>
        <w:t>道</w:t>
      </w:r>
      <w:r>
        <w:rPr>
          <w:rFonts w:hint="eastAsia" w:ascii="仿宋_GB2312" w:hAnsi="仿宋_GB2312" w:eastAsia="仿宋_GB2312" w:cs="仿宋_GB2312"/>
          <w:b/>
          <w:bCs/>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val="en-US" w:eastAsia="zh-CN" w:bidi="ar"/>
        </w:rPr>
        <w:t>保护好黄河生态环境，凸显黄河农耕文化主题，融合黄河稻乡湾</w:t>
      </w:r>
      <w:r>
        <w:rPr>
          <w:rFonts w:hint="eastAsia" w:cs="仿宋_GB2312"/>
          <w:color w:val="auto"/>
          <w:kern w:val="0"/>
          <w:sz w:val="32"/>
          <w:szCs w:val="32"/>
          <w:highlight w:val="none"/>
          <w:lang w:val="en-US" w:eastAsia="zh-CN" w:bidi="ar"/>
        </w:rPr>
        <w:t>等</w:t>
      </w:r>
      <w:r>
        <w:rPr>
          <w:rFonts w:hint="eastAsia" w:ascii="仿宋_GB2312" w:hAnsi="仿宋_GB2312" w:eastAsia="仿宋_GB2312" w:cs="仿宋_GB2312"/>
          <w:color w:val="auto"/>
          <w:kern w:val="0"/>
          <w:sz w:val="32"/>
          <w:szCs w:val="32"/>
          <w:highlight w:val="none"/>
          <w:lang w:val="en-US" w:eastAsia="zh-CN" w:bidi="ar"/>
        </w:rPr>
        <w:t>田园综合体发展设施农业、稻渔种养、休闲文旅，着力打造集生态保育、高效农业、文化弘扬、休闲观光于一体的复合型生态化产业廊道。徒骇河果香文旅廊</w:t>
      </w:r>
      <w:r>
        <w:rPr>
          <w:rFonts w:hint="eastAsia" w:cs="仿宋_GB2312"/>
          <w:color w:val="auto"/>
          <w:kern w:val="0"/>
          <w:sz w:val="32"/>
          <w:szCs w:val="32"/>
          <w:highlight w:val="none"/>
          <w:lang w:val="en-US" w:eastAsia="zh-CN" w:bidi="ar"/>
        </w:rPr>
        <w:t>道</w:t>
      </w:r>
      <w:r>
        <w:rPr>
          <w:rFonts w:hint="eastAsia" w:ascii="仿宋_GB2312" w:hAnsi="仿宋_GB2312" w:eastAsia="仿宋_GB2312" w:cs="仿宋_GB2312"/>
          <w:color w:val="auto"/>
          <w:kern w:val="0"/>
          <w:sz w:val="32"/>
          <w:szCs w:val="32"/>
          <w:highlight w:val="none"/>
          <w:lang w:val="en-US" w:eastAsia="zh-CN" w:bidi="ar"/>
        </w:rPr>
        <w:t>以徒骇河为水脉，串联刘台子遗址等历史文化资源，融合</w:t>
      </w:r>
      <w:r>
        <w:rPr>
          <w:rFonts w:hint="eastAsia" w:cs="仿宋_GB2312"/>
          <w:color w:val="auto"/>
          <w:kern w:val="0"/>
          <w:sz w:val="32"/>
          <w:szCs w:val="32"/>
          <w:highlight w:val="none"/>
          <w:lang w:val="en-US" w:eastAsia="zh-CN" w:bidi="ar"/>
        </w:rPr>
        <w:t>仁风硒禾</w:t>
      </w:r>
      <w:r>
        <w:rPr>
          <w:rFonts w:hint="eastAsia" w:ascii="仿宋_GB2312" w:hAnsi="仿宋_GB2312" w:eastAsia="仿宋_GB2312" w:cs="仿宋_GB2312"/>
          <w:color w:val="auto"/>
          <w:kern w:val="0"/>
          <w:sz w:val="32"/>
          <w:szCs w:val="32"/>
          <w:highlight w:val="none"/>
          <w:lang w:val="en-US" w:eastAsia="zh-CN" w:bidi="ar"/>
        </w:rPr>
        <w:t>、曲堤闻韶、垛石慢城、新市花谷等四大田园综合体，挖掘区域特色文化，大力发展文化创意、农业体验、户外休闲、乡村康养等产业功能，集中展现</w:t>
      </w:r>
      <w:r>
        <w:rPr>
          <w:rFonts w:hint="eastAsia" w:cs="仿宋_GB2312"/>
          <w:color w:val="auto"/>
          <w:kern w:val="0"/>
          <w:sz w:val="32"/>
          <w:szCs w:val="32"/>
          <w:highlight w:val="none"/>
          <w:lang w:val="en-US" w:eastAsia="zh-CN" w:bidi="ar"/>
        </w:rPr>
        <w:t>我区</w:t>
      </w:r>
      <w:r>
        <w:rPr>
          <w:rFonts w:hint="eastAsia" w:ascii="仿宋_GB2312" w:hAnsi="仿宋_GB2312" w:eastAsia="仿宋_GB2312" w:cs="仿宋_GB2312"/>
          <w:color w:val="auto"/>
          <w:kern w:val="0"/>
          <w:sz w:val="32"/>
          <w:szCs w:val="32"/>
          <w:highlight w:val="none"/>
          <w:lang w:val="en-US" w:eastAsia="zh-CN" w:bidi="ar"/>
        </w:rPr>
        <w:t>水绿</w:t>
      </w:r>
      <w:r>
        <w:rPr>
          <w:rFonts w:hint="eastAsia" w:cs="仿宋_GB2312"/>
          <w:color w:val="auto"/>
          <w:kern w:val="0"/>
          <w:sz w:val="32"/>
          <w:szCs w:val="32"/>
          <w:highlight w:val="none"/>
          <w:lang w:val="en-US" w:eastAsia="zh-CN" w:bidi="ar"/>
        </w:rPr>
        <w:t>景</w:t>
      </w:r>
      <w:r>
        <w:rPr>
          <w:rFonts w:hint="eastAsia" w:ascii="仿宋_GB2312" w:hAnsi="仿宋_GB2312" w:eastAsia="仿宋_GB2312" w:cs="仿宋_GB2312"/>
          <w:color w:val="auto"/>
          <w:kern w:val="0"/>
          <w:sz w:val="32"/>
          <w:szCs w:val="32"/>
          <w:highlight w:val="none"/>
          <w:lang w:val="en-US" w:eastAsia="zh-CN" w:bidi="ar"/>
        </w:rPr>
        <w:t>秀的田园风貌。</w:t>
      </w:r>
    </w:p>
    <w:p w14:paraId="4EF4DCD4">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auto"/>
          <w:spacing w:val="0"/>
          <w:kern w:val="2"/>
          <w:szCs w:val="32"/>
          <w:highlight w:val="none"/>
        </w:rPr>
      </w:pPr>
      <w:r>
        <w:rPr>
          <w:rFonts w:hint="eastAsia" w:ascii="楷体_GB2312" w:hAnsi="楷体_GB2312" w:eastAsia="楷体_GB2312" w:cs="楷体_GB2312"/>
          <w:color w:val="auto"/>
          <w:spacing w:val="0"/>
          <w:kern w:val="2"/>
          <w:szCs w:val="32"/>
          <w:highlight w:val="none"/>
          <w:lang w:eastAsia="zh-CN"/>
        </w:rPr>
        <w:t>（</w:t>
      </w:r>
      <w:r>
        <w:rPr>
          <w:rFonts w:hint="eastAsia" w:ascii="楷体_GB2312" w:hAnsi="楷体_GB2312" w:eastAsia="楷体_GB2312" w:cs="楷体_GB2312"/>
          <w:color w:val="auto"/>
          <w:spacing w:val="0"/>
          <w:kern w:val="2"/>
          <w:szCs w:val="32"/>
          <w:highlight w:val="none"/>
          <w:lang w:val="en-US" w:eastAsia="zh-CN"/>
        </w:rPr>
        <w:t>二</w:t>
      </w:r>
      <w:r>
        <w:rPr>
          <w:rFonts w:hint="eastAsia" w:ascii="楷体_GB2312" w:hAnsi="楷体_GB2312" w:eastAsia="楷体_GB2312" w:cs="楷体_GB2312"/>
          <w:color w:val="auto"/>
          <w:spacing w:val="0"/>
          <w:kern w:val="2"/>
          <w:szCs w:val="32"/>
          <w:highlight w:val="none"/>
          <w:lang w:eastAsia="zh-CN"/>
        </w:rPr>
        <w:t>）</w:t>
      </w:r>
      <w:r>
        <w:rPr>
          <w:rFonts w:hint="eastAsia" w:ascii="楷体_GB2312" w:hAnsi="楷体_GB2312" w:eastAsia="楷体_GB2312" w:cs="楷体_GB2312"/>
          <w:color w:val="auto"/>
          <w:spacing w:val="0"/>
          <w:kern w:val="2"/>
          <w:szCs w:val="32"/>
          <w:highlight w:val="none"/>
        </w:rPr>
        <w:t>提升招商引资质效。</w:t>
      </w:r>
      <w:r>
        <w:rPr>
          <w:rFonts w:hint="eastAsia" w:ascii="仿宋_GB2312" w:hAnsi="仿宋_GB2312" w:eastAsia="仿宋_GB2312" w:cs="仿宋_GB2312"/>
          <w:color w:val="auto"/>
          <w:spacing w:val="0"/>
          <w:kern w:val="2"/>
          <w:szCs w:val="32"/>
          <w:highlight w:val="none"/>
        </w:rPr>
        <w:t>坚持精准化、专业化导向，聚焦食品饮料、智能制造、生物医药等优势产业，依托</w:t>
      </w:r>
      <w:r>
        <w:rPr>
          <w:rFonts w:hint="eastAsia" w:cs="仿宋_GB2312"/>
          <w:b w:val="0"/>
          <w:bCs w:val="0"/>
          <w:color w:val="auto"/>
          <w:szCs w:val="32"/>
          <w:highlight w:val="none"/>
          <w:lang w:val="en-US" w:eastAsia="zh-CN"/>
        </w:rPr>
        <w:t>山东</w:t>
      </w:r>
      <w:r>
        <w:rPr>
          <w:rFonts w:hint="eastAsia" w:ascii="仿宋_GB2312" w:hAnsi="仿宋_GB2312" w:eastAsia="仿宋_GB2312" w:cs="仿宋_GB2312"/>
          <w:b w:val="0"/>
          <w:bCs w:val="0"/>
          <w:color w:val="auto"/>
          <w:szCs w:val="32"/>
          <w:highlight w:val="none"/>
          <w:lang w:eastAsia="zh-CN"/>
        </w:rPr>
        <w:t>济北经济开发区</w:t>
      </w:r>
      <w:r>
        <w:rPr>
          <w:rFonts w:hint="eastAsia" w:ascii="仿宋_GB2312" w:hAnsi="仿宋_GB2312" w:eastAsia="仿宋_GB2312" w:cs="仿宋_GB2312"/>
          <w:color w:val="auto"/>
          <w:spacing w:val="0"/>
          <w:kern w:val="2"/>
          <w:szCs w:val="32"/>
          <w:highlight w:val="none"/>
        </w:rPr>
        <w:t>、海峡两岸</w:t>
      </w:r>
      <w:r>
        <w:rPr>
          <w:rFonts w:hint="eastAsia" w:cs="仿宋_GB2312"/>
          <w:color w:val="auto"/>
          <w:spacing w:val="0"/>
          <w:kern w:val="2"/>
          <w:szCs w:val="32"/>
          <w:highlight w:val="none"/>
          <w:lang w:val="en-US" w:eastAsia="zh-CN"/>
        </w:rPr>
        <w:t>新旧动能转换</w:t>
      </w:r>
      <w:r>
        <w:rPr>
          <w:rFonts w:hint="eastAsia" w:ascii="仿宋_GB2312" w:hAnsi="仿宋_GB2312" w:eastAsia="仿宋_GB2312" w:cs="仿宋_GB2312"/>
          <w:color w:val="auto"/>
          <w:spacing w:val="0"/>
          <w:kern w:val="2"/>
          <w:szCs w:val="32"/>
          <w:highlight w:val="none"/>
        </w:rPr>
        <w:t>产业合作区等平台载体，围绕产业链图谱开展靶向招引，优化“一盘棋”招商机制。用好海峡两岸产业合作区产业引导基金等金融工具，推进“基金</w:t>
      </w:r>
      <w:r>
        <w:rPr>
          <w:rFonts w:hint="eastAsia" w:cs="仿宋_GB2312"/>
          <w:color w:val="auto"/>
          <w:spacing w:val="0"/>
          <w:kern w:val="2"/>
          <w:szCs w:val="32"/>
          <w:highlight w:val="none"/>
          <w:lang w:eastAsia="zh-CN"/>
        </w:rPr>
        <w:t>＋</w:t>
      </w:r>
      <w:r>
        <w:rPr>
          <w:rFonts w:hint="eastAsia" w:ascii="仿宋_GB2312" w:hAnsi="仿宋_GB2312" w:eastAsia="仿宋_GB2312" w:cs="仿宋_GB2312"/>
          <w:color w:val="auto"/>
          <w:spacing w:val="0"/>
          <w:kern w:val="2"/>
          <w:szCs w:val="32"/>
          <w:highlight w:val="none"/>
        </w:rPr>
        <w:t>项目”联动招引</w:t>
      </w:r>
      <w:r>
        <w:rPr>
          <w:rFonts w:hint="eastAsia" w:cs="仿宋_GB2312"/>
          <w:color w:val="auto"/>
          <w:spacing w:val="0"/>
          <w:kern w:val="2"/>
          <w:szCs w:val="32"/>
          <w:highlight w:val="none"/>
          <w:lang w:eastAsia="zh-CN"/>
        </w:rPr>
        <w:t>，扶持创新创业和高新技术、专精特新等创新企业，加大重点“双招双引”项目及重大项目支持</w:t>
      </w:r>
      <w:r>
        <w:rPr>
          <w:rFonts w:hint="eastAsia" w:ascii="仿宋_GB2312" w:hAnsi="仿宋_GB2312" w:eastAsia="仿宋_GB2312" w:cs="仿宋_GB2312"/>
          <w:color w:val="auto"/>
          <w:spacing w:val="0"/>
          <w:kern w:val="2"/>
          <w:szCs w:val="32"/>
          <w:highlight w:val="none"/>
        </w:rPr>
        <w:t>。</w:t>
      </w:r>
    </w:p>
    <w:p w14:paraId="6BE9CA06">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spacing w:val="0"/>
          <w:kern w:val="2"/>
          <w:szCs w:val="32"/>
          <w:highlight w:val="none"/>
        </w:rPr>
      </w:pPr>
      <w:r>
        <w:rPr>
          <w:rFonts w:hint="eastAsia" w:ascii="楷体_GB2312" w:hAnsi="楷体_GB2312" w:eastAsia="楷体_GB2312" w:cs="楷体_GB2312"/>
          <w:color w:val="auto"/>
          <w:spacing w:val="0"/>
          <w:kern w:val="2"/>
          <w:szCs w:val="32"/>
          <w:highlight w:val="none"/>
          <w:lang w:eastAsia="zh-CN"/>
        </w:rPr>
        <w:t>（</w:t>
      </w:r>
      <w:r>
        <w:rPr>
          <w:rFonts w:hint="eastAsia" w:ascii="楷体_GB2312" w:hAnsi="楷体_GB2312" w:eastAsia="楷体_GB2312" w:cs="楷体_GB2312"/>
          <w:color w:val="auto"/>
          <w:spacing w:val="0"/>
          <w:kern w:val="2"/>
          <w:szCs w:val="32"/>
          <w:highlight w:val="none"/>
          <w:lang w:val="en-US" w:eastAsia="zh-CN"/>
        </w:rPr>
        <w:t>三</w:t>
      </w:r>
      <w:r>
        <w:rPr>
          <w:rFonts w:hint="eastAsia" w:ascii="楷体_GB2312" w:hAnsi="楷体_GB2312" w:eastAsia="楷体_GB2312" w:cs="楷体_GB2312"/>
          <w:color w:val="auto"/>
          <w:spacing w:val="0"/>
          <w:kern w:val="2"/>
          <w:szCs w:val="32"/>
          <w:highlight w:val="none"/>
          <w:lang w:eastAsia="zh-CN"/>
        </w:rPr>
        <w:t>）增强产业政策支撑。</w:t>
      </w:r>
      <w:r>
        <w:rPr>
          <w:rFonts w:hint="eastAsia" w:cs="仿宋_GB2312"/>
          <w:color w:val="auto"/>
          <w:spacing w:val="0"/>
          <w:kern w:val="2"/>
          <w:szCs w:val="32"/>
          <w:highlight w:val="none"/>
          <w:lang w:val="en-US" w:eastAsia="zh-CN"/>
        </w:rPr>
        <w:t>建立健全</w:t>
      </w:r>
      <w:r>
        <w:rPr>
          <w:rFonts w:hint="eastAsia" w:ascii="仿宋_GB2312" w:hAnsi="仿宋_GB2312" w:eastAsia="仿宋_GB2312" w:cs="仿宋_GB2312"/>
          <w:color w:val="auto"/>
          <w:spacing w:val="0"/>
          <w:kern w:val="2"/>
          <w:szCs w:val="32"/>
          <w:highlight w:val="none"/>
          <w:lang w:eastAsia="zh-CN"/>
        </w:rPr>
        <w:t>产业政策支持体系，精准对接重点产业发展与企业成长需求，强化对科技创新、产业升级和人才引育的全方位扶持</w:t>
      </w:r>
      <w:r>
        <w:rPr>
          <w:rFonts w:hint="eastAsia" w:cs="仿宋_GB2312"/>
          <w:color w:val="auto"/>
          <w:spacing w:val="0"/>
          <w:kern w:val="2"/>
          <w:szCs w:val="32"/>
          <w:highlight w:val="none"/>
          <w:lang w:eastAsia="zh-CN"/>
        </w:rPr>
        <w:t>。</w:t>
      </w:r>
      <w:r>
        <w:rPr>
          <w:rFonts w:hint="eastAsia"/>
          <w:color w:val="auto"/>
          <w:spacing w:val="0"/>
          <w:kern w:val="2"/>
          <w:szCs w:val="32"/>
          <w:highlight w:val="none"/>
        </w:rPr>
        <w:t>支持金融机构开发适应科技型中小企业特点的专项金融产品，充分利用区域性股权市场培育高成长性企业。健全依托重大项目和重点工程培养科技领军人才和创新团队的机制，推动校企共建实验室和中试基地，加速技术成果转化应用。深入开展“亩产效益”评价，通过分类施策引导要素向优质企业集聚。实施人才引育计划，柔性引进高端创新团队，培育本土领军人才。推进产业工人队伍建设改革，壮大技能人才队伍。建立产业监测预警机制</w:t>
      </w:r>
      <w:r>
        <w:rPr>
          <w:rFonts w:hint="eastAsia"/>
          <w:color w:val="auto"/>
          <w:spacing w:val="0"/>
          <w:kern w:val="2"/>
          <w:szCs w:val="32"/>
          <w:highlight w:val="none"/>
          <w:lang w:eastAsia="zh-CN"/>
        </w:rPr>
        <w:t>，</w:t>
      </w:r>
      <w:r>
        <w:rPr>
          <w:rFonts w:hint="eastAsia"/>
          <w:color w:val="auto"/>
          <w:spacing w:val="0"/>
          <w:kern w:val="2"/>
          <w:szCs w:val="32"/>
          <w:highlight w:val="none"/>
        </w:rPr>
        <w:t>动态调整发展重点，为区域产业高质量发展注入持久动能。</w:t>
      </w:r>
    </w:p>
    <w:p w14:paraId="1CC23B21">
      <w:pPr>
        <w:rPr>
          <w:rFonts w:hint="eastAsia"/>
          <w:color w:val="auto"/>
          <w:spacing w:val="0"/>
          <w:kern w:val="2"/>
          <w:szCs w:val="32"/>
          <w:highlight w:val="none"/>
        </w:rPr>
      </w:pPr>
      <w:r>
        <w:rPr>
          <w:rFonts w:hint="eastAsia"/>
          <w:color w:val="auto"/>
          <w:spacing w:val="0"/>
          <w:kern w:val="2"/>
          <w:szCs w:val="32"/>
          <w:highlight w:val="none"/>
        </w:rPr>
        <w:br w:type="page"/>
      </w:r>
    </w:p>
    <w:p w14:paraId="40CF84E0">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spacing w:val="0"/>
          <w:kern w:val="2"/>
          <w:szCs w:val="32"/>
          <w:highlight w:val="none"/>
          <w:lang w:val="en-US" w:eastAsia="zh-CN"/>
        </w:rPr>
      </w:pPr>
    </w:p>
    <w:p w14:paraId="4168D3DF">
      <w:pPr>
        <w:keepNext w:val="0"/>
        <w:keepLines w:val="0"/>
        <w:pageBreakBefore w:val="0"/>
        <w:widowControl w:val="0"/>
        <w:suppressLineNumbers w:val="0"/>
        <w:shd w:val="clear"/>
        <w:kinsoku/>
        <w:wordWrap/>
        <w:overflowPunct w:val="0"/>
        <w:topLinePunct w:val="0"/>
        <w:autoSpaceDE/>
        <w:autoSpaceDN/>
        <w:bidi w:val="0"/>
        <w:adjustRightInd/>
        <w:snapToGrid/>
        <w:spacing w:before="157" w:beforeLines="50" w:after="157" w:afterLines="50" w:afterAutospacing="0" w:line="600" w:lineRule="exact"/>
        <w:ind w:left="0" w:leftChars="0" w:firstLine="0" w:firstLineChars="0"/>
        <w:jc w:val="center"/>
        <w:textAlignment w:val="auto"/>
        <w:outlineLvl w:val="0"/>
        <w:rPr>
          <w:rFonts w:hint="eastAsia" w:ascii="方正小标宋简体" w:hAnsi="方正小标宋简体" w:eastAsia="方正小标宋简体" w:cs="方正小标宋简体"/>
          <w:color w:val="auto"/>
          <w:spacing w:val="0"/>
          <w:kern w:val="0"/>
          <w:sz w:val="32"/>
          <w:szCs w:val="32"/>
          <w:highlight w:val="none"/>
          <w:lang w:val="en-US" w:eastAsia="zh-CN" w:bidi="ar"/>
        </w:rPr>
      </w:pPr>
      <w:bookmarkStart w:id="112" w:name="_Toc15643"/>
      <w:bookmarkStart w:id="113" w:name="_Toc25857"/>
      <w:r>
        <w:rPr>
          <w:rFonts w:hint="eastAsia" w:ascii="方正小标宋简体" w:hAnsi="方正小标宋简体" w:eastAsia="方正小标宋简体" w:cs="方正小标宋简体"/>
          <w:color w:val="auto"/>
          <w:spacing w:val="0"/>
          <w:kern w:val="0"/>
          <w:sz w:val="32"/>
          <w:szCs w:val="32"/>
          <w:highlight w:val="none"/>
          <w:lang w:val="en-US" w:eastAsia="zh-CN" w:bidi="ar"/>
        </w:rPr>
        <w:t>第三章  强化科技创新支撑，</w:t>
      </w:r>
      <w:bookmarkStart w:id="114" w:name="_Toc2926"/>
      <w:bookmarkStart w:id="115" w:name="_Toc15510"/>
      <w:bookmarkStart w:id="116" w:name="_Toc928"/>
      <w:bookmarkStart w:id="117" w:name="_Toc12640"/>
      <w:r>
        <w:rPr>
          <w:rFonts w:hint="eastAsia" w:ascii="方正小标宋简体" w:hAnsi="方正小标宋简体" w:eastAsia="方正小标宋简体" w:cs="方正小标宋简体"/>
          <w:color w:val="auto"/>
          <w:spacing w:val="0"/>
          <w:kern w:val="0"/>
          <w:sz w:val="32"/>
          <w:szCs w:val="32"/>
          <w:highlight w:val="none"/>
          <w:lang w:val="en-US" w:eastAsia="zh-CN" w:bidi="ar"/>
        </w:rPr>
        <w:t>建设济南北部科创资源集聚</w:t>
      </w:r>
      <w:bookmarkEnd w:id="112"/>
      <w:r>
        <w:rPr>
          <w:rFonts w:hint="eastAsia" w:ascii="方正小标宋简体" w:hAnsi="方正小标宋简体" w:eastAsia="方正小标宋简体" w:cs="方正小标宋简体"/>
          <w:color w:val="auto"/>
          <w:spacing w:val="0"/>
          <w:kern w:val="0"/>
          <w:sz w:val="32"/>
          <w:szCs w:val="32"/>
          <w:highlight w:val="none"/>
          <w:lang w:val="en-US" w:eastAsia="zh-CN" w:bidi="ar"/>
        </w:rPr>
        <w:t>区</w:t>
      </w:r>
      <w:bookmarkEnd w:id="113"/>
    </w:p>
    <w:p w14:paraId="0DF56CD5">
      <w:pPr>
        <w:shd w:val="clear"/>
        <w:adjustRightInd/>
        <w:snapToGrid/>
        <w:ind w:firstLine="640" w:firstLineChars="200"/>
        <w:rPr>
          <w:rFonts w:hint="eastAsia" w:ascii="仿宋_GB2312" w:hAnsi="仿宋_GB2312" w:eastAsia="仿宋_GB2312" w:cs="仿宋_GB2312"/>
          <w:color w:val="auto"/>
          <w:spacing w:val="0"/>
          <w:sz w:val="32"/>
          <w:szCs w:val="32"/>
          <w:highlight w:val="none"/>
          <w:lang w:val="en-US" w:eastAsia="zh-CN"/>
        </w:rPr>
      </w:pPr>
      <w:bookmarkStart w:id="118" w:name="_Toc14553"/>
      <w:bookmarkStart w:id="119" w:name="_Toc31954"/>
      <w:bookmarkStart w:id="120" w:name="_Toc2907"/>
      <w:bookmarkStart w:id="121" w:name="_Toc15473"/>
      <w:r>
        <w:rPr>
          <w:rFonts w:hint="eastAsia" w:ascii="仿宋_GB2312" w:hAnsi="仿宋_GB2312" w:eastAsia="仿宋_GB2312" w:cs="仿宋_GB2312"/>
          <w:color w:val="auto"/>
          <w:spacing w:val="0"/>
          <w:sz w:val="32"/>
          <w:szCs w:val="32"/>
          <w:highlight w:val="none"/>
        </w:rPr>
        <w:t>坚持创新在现代化建设全局中的核心地位，深入实施</w:t>
      </w:r>
      <w:r>
        <w:rPr>
          <w:rFonts w:hint="eastAsia" w:cs="仿宋_GB2312"/>
          <w:color w:val="auto"/>
          <w:spacing w:val="0"/>
          <w:sz w:val="32"/>
          <w:szCs w:val="32"/>
          <w:highlight w:val="none"/>
          <w:lang w:val="en-US" w:eastAsia="zh-CN"/>
        </w:rPr>
        <w:t>科技兴区</w:t>
      </w:r>
      <w:r>
        <w:rPr>
          <w:rFonts w:hint="eastAsia" w:ascii="仿宋_GB2312" w:hAnsi="仿宋_GB2312" w:eastAsia="仿宋_GB2312" w:cs="仿宋_GB2312"/>
          <w:color w:val="auto"/>
          <w:spacing w:val="0"/>
          <w:sz w:val="32"/>
          <w:szCs w:val="32"/>
          <w:highlight w:val="none"/>
        </w:rPr>
        <w:t>战略，持续提升创新策源能力、高效汇聚创新要素、全面优化创新生态，</w:t>
      </w:r>
      <w:r>
        <w:rPr>
          <w:rFonts w:hint="eastAsia" w:ascii="仿宋_GB2312" w:hAnsi="仿宋_GB2312" w:eastAsia="仿宋_GB2312" w:cs="仿宋_GB2312"/>
          <w:color w:val="auto"/>
          <w:spacing w:val="0"/>
          <w:sz w:val="32"/>
          <w:szCs w:val="32"/>
          <w:highlight w:val="none"/>
          <w:lang w:val="en-US" w:eastAsia="zh-CN"/>
        </w:rPr>
        <w:t>推动科技创新</w:t>
      </w:r>
      <w:r>
        <w:rPr>
          <w:rFonts w:hint="eastAsia" w:cs="仿宋_GB2312"/>
          <w:color w:val="auto"/>
          <w:spacing w:val="0"/>
          <w:sz w:val="32"/>
          <w:szCs w:val="32"/>
          <w:highlight w:val="none"/>
          <w:lang w:val="en-US" w:eastAsia="zh-CN"/>
        </w:rPr>
        <w:t>和</w:t>
      </w:r>
      <w:r>
        <w:rPr>
          <w:rFonts w:hint="eastAsia" w:ascii="仿宋_GB2312" w:hAnsi="仿宋_GB2312" w:eastAsia="仿宋_GB2312" w:cs="仿宋_GB2312"/>
          <w:color w:val="auto"/>
          <w:spacing w:val="0"/>
          <w:sz w:val="32"/>
          <w:szCs w:val="32"/>
          <w:highlight w:val="none"/>
          <w:lang w:val="en-US" w:eastAsia="zh-CN"/>
        </w:rPr>
        <w:t>产业创新深度融合</w:t>
      </w:r>
      <w:r>
        <w:rPr>
          <w:rFonts w:hint="eastAsia" w:cs="仿宋_GB2312"/>
          <w:color w:val="auto"/>
          <w:spacing w:val="0"/>
          <w:sz w:val="32"/>
          <w:szCs w:val="32"/>
          <w:highlight w:val="none"/>
          <w:lang w:val="en-US" w:eastAsia="zh-CN"/>
        </w:rPr>
        <w:t>，打造济南北部创新驱动发展</w:t>
      </w:r>
      <w:r>
        <w:rPr>
          <w:rFonts w:hint="eastAsia" w:ascii="仿宋_GB2312" w:hAnsi="仿宋_GB2312" w:eastAsia="仿宋_GB2312" w:cs="仿宋_GB2312"/>
          <w:color w:val="auto"/>
          <w:spacing w:val="0"/>
          <w:sz w:val="32"/>
          <w:szCs w:val="32"/>
          <w:highlight w:val="none"/>
          <w:lang w:val="en-US" w:eastAsia="zh-CN"/>
        </w:rPr>
        <w:t>重要</w:t>
      </w:r>
      <w:r>
        <w:rPr>
          <w:rFonts w:hint="eastAsia" w:cs="仿宋_GB2312"/>
          <w:color w:val="auto"/>
          <w:spacing w:val="0"/>
          <w:sz w:val="32"/>
          <w:szCs w:val="32"/>
          <w:highlight w:val="none"/>
          <w:lang w:val="en-US" w:eastAsia="zh-CN"/>
        </w:rPr>
        <w:t>动力源</w:t>
      </w:r>
      <w:r>
        <w:rPr>
          <w:rFonts w:hint="eastAsia" w:ascii="仿宋_GB2312" w:hAnsi="仿宋_GB2312" w:eastAsia="仿宋_GB2312" w:cs="仿宋_GB2312"/>
          <w:color w:val="auto"/>
          <w:spacing w:val="0"/>
          <w:sz w:val="32"/>
          <w:szCs w:val="32"/>
          <w:highlight w:val="none"/>
          <w:lang w:val="en-US" w:eastAsia="zh-CN"/>
        </w:rPr>
        <w:t>。</w:t>
      </w:r>
    </w:p>
    <w:p w14:paraId="398D7A54">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sz w:val="32"/>
          <w:szCs w:val="22"/>
          <w:highlight w:val="none"/>
          <w:lang w:val="en-US" w:eastAsia="zh-CN"/>
        </w:rPr>
      </w:pPr>
      <w:bookmarkStart w:id="122" w:name="_Toc13120"/>
      <w:bookmarkStart w:id="123" w:name="_Toc18808"/>
      <w:bookmarkStart w:id="124" w:name="_Toc2830"/>
      <w:bookmarkStart w:id="125" w:name="_Toc4765"/>
      <w:bookmarkStart w:id="126" w:name="_Toc4597"/>
      <w:bookmarkStart w:id="127" w:name="_Toc16699"/>
      <w:bookmarkStart w:id="128" w:name="_Toc12179"/>
      <w:bookmarkStart w:id="129" w:name="_Toc19177"/>
      <w:r>
        <w:rPr>
          <w:rFonts w:hint="eastAsia" w:ascii="黑体" w:hAnsi="黑体" w:eastAsia="黑体" w:cs="黑体"/>
          <w:color w:val="auto"/>
          <w:sz w:val="32"/>
          <w:szCs w:val="22"/>
          <w:highlight w:val="none"/>
          <w:lang w:val="en-US" w:eastAsia="zh-CN"/>
        </w:rPr>
        <w:t>一、强化企业创新主体地位</w:t>
      </w:r>
      <w:bookmarkEnd w:id="122"/>
      <w:bookmarkEnd w:id="123"/>
      <w:bookmarkEnd w:id="124"/>
      <w:bookmarkEnd w:id="125"/>
      <w:bookmarkEnd w:id="126"/>
      <w:bookmarkEnd w:id="127"/>
      <w:bookmarkEnd w:id="128"/>
    </w:p>
    <w:p w14:paraId="1EC5A43F">
      <w:pPr>
        <w:keepNext w:val="0"/>
        <w:keepLines w:val="0"/>
        <w:pageBreakBefore w:val="0"/>
        <w:shd w:val="clear"/>
        <w:kinsoku/>
        <w:wordWrap/>
        <w:overflowPunct w:val="0"/>
        <w:topLinePunct w:val="0"/>
        <w:bidi w:val="0"/>
        <w:adjustRightInd/>
        <w:snapToGrid/>
        <w:ind w:firstLine="640" w:firstLineChars="200"/>
        <w:jc w:val="both"/>
        <w:textAlignment w:val="auto"/>
        <w:rPr>
          <w:rFonts w:hint="default" w:ascii="仿宋_GB2312" w:hAnsi="仿宋_GB2312" w:eastAsia="仿宋_GB2312" w:cs="仿宋_GB2312"/>
          <w:b w:val="0"/>
          <w:bCs w:val="0"/>
          <w:color w:val="auto"/>
          <w:spacing w:val="0"/>
          <w:sz w:val="32"/>
          <w:szCs w:val="32"/>
          <w:highlight w:val="none"/>
          <w:lang w:val="en-US" w:eastAsia="zh-CN"/>
        </w:rPr>
      </w:pPr>
      <w:r>
        <w:rPr>
          <w:rFonts w:hint="eastAsia" w:cs="仿宋_GB2312"/>
          <w:color w:val="auto"/>
          <w:spacing w:val="0"/>
          <w:sz w:val="32"/>
          <w:szCs w:val="32"/>
          <w:highlight w:val="none"/>
          <w:lang w:val="en-US" w:eastAsia="zh-CN"/>
        </w:rPr>
        <w:t>持续</w:t>
      </w:r>
      <w:r>
        <w:rPr>
          <w:rFonts w:hint="eastAsia" w:ascii="仿宋_GB2312" w:hAnsi="仿宋_GB2312" w:eastAsia="仿宋_GB2312" w:cs="仿宋_GB2312"/>
          <w:color w:val="auto"/>
          <w:spacing w:val="0"/>
          <w:sz w:val="32"/>
          <w:szCs w:val="32"/>
          <w:highlight w:val="none"/>
          <w:lang w:val="en-US" w:eastAsia="zh-CN"/>
        </w:rPr>
        <w:t>提升企业自主创新能力</w:t>
      </w:r>
      <w:r>
        <w:rPr>
          <w:rFonts w:hint="eastAsia" w:cs="仿宋_GB2312"/>
          <w:color w:val="auto"/>
          <w:spacing w:val="0"/>
          <w:sz w:val="32"/>
          <w:szCs w:val="32"/>
          <w:highlight w:val="none"/>
          <w:lang w:val="en-US" w:eastAsia="zh-CN"/>
        </w:rPr>
        <w:t>，完善企业梯次培育体系</w:t>
      </w:r>
      <w:r>
        <w:rPr>
          <w:rFonts w:hint="eastAsia" w:ascii="仿宋_GB2312" w:hAnsi="仿宋_GB2312" w:eastAsia="仿宋_GB2312" w:cs="仿宋_GB2312"/>
          <w:color w:val="auto"/>
          <w:spacing w:val="0"/>
          <w:sz w:val="32"/>
          <w:szCs w:val="32"/>
          <w:highlight w:val="none"/>
          <w:lang w:val="en-US" w:eastAsia="zh-CN"/>
        </w:rPr>
        <w:t>，引导激励企业加大研发投入</w:t>
      </w:r>
      <w:r>
        <w:rPr>
          <w:rFonts w:hint="eastAsia" w:cs="仿宋_GB2312"/>
          <w:color w:val="auto"/>
          <w:spacing w:val="0"/>
          <w:sz w:val="32"/>
          <w:szCs w:val="32"/>
          <w:highlight w:val="none"/>
          <w:lang w:val="en-US" w:eastAsia="zh-CN"/>
        </w:rPr>
        <w:t>，促进大中小企业融通创新，</w:t>
      </w:r>
      <w:r>
        <w:rPr>
          <w:rFonts w:hint="eastAsia" w:ascii="仿宋_GB2312" w:hAnsi="仿宋_GB2312" w:eastAsia="仿宋_GB2312" w:cs="仿宋_GB2312"/>
          <w:color w:val="auto"/>
          <w:spacing w:val="0"/>
          <w:sz w:val="32"/>
          <w:szCs w:val="32"/>
          <w:highlight w:val="none"/>
          <w:lang w:val="en-US" w:eastAsia="zh-CN"/>
        </w:rPr>
        <w:t>全面提升企业科技创新综合实力和市场竞争力。</w:t>
      </w:r>
    </w:p>
    <w:p w14:paraId="36F93022">
      <w:pPr>
        <w:keepNext w:val="0"/>
        <w:keepLines w:val="0"/>
        <w:pageBreakBefore w:val="0"/>
        <w:widowControl w:val="0"/>
        <w:shd w:val="clear"/>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楷体_GB2312" w:hAnsi="楷体_GB2312" w:eastAsia="楷体_GB2312" w:cs="楷体_GB2312"/>
          <w:color w:val="auto"/>
          <w:spacing w:val="0"/>
          <w:kern w:val="2"/>
          <w:sz w:val="32"/>
          <w:szCs w:val="32"/>
          <w:highlight w:val="none"/>
          <w:lang w:val="en-US" w:eastAsia="zh-CN"/>
        </w:rPr>
        <w:t>（一）培育雁阵式科技企业集群。</w:t>
      </w:r>
      <w:r>
        <w:rPr>
          <w:rFonts w:hint="eastAsia" w:ascii="仿宋_GB2312" w:hAnsi="仿宋_GB2312" w:eastAsia="仿宋_GB2312" w:cs="仿宋_GB2312"/>
          <w:b w:val="0"/>
          <w:bCs w:val="0"/>
          <w:color w:val="auto"/>
          <w:spacing w:val="0"/>
          <w:sz w:val="32"/>
          <w:szCs w:val="32"/>
          <w:highlight w:val="none"/>
          <w:lang w:val="en-US" w:eastAsia="zh-CN"/>
        </w:rPr>
        <w:t>深入实施新一轮科技型企业梯度培育计划，加快构建以行业创新领军企业为龙头、高新技术企业为重点、科技型企业为后备的培育成长“雁形梯队”，构建科技型中小企业“铺天盖地”</w:t>
      </w:r>
      <w:r>
        <w:rPr>
          <w:rFonts w:hint="eastAsia" w:cs="仿宋_GB2312"/>
          <w:b w:val="0"/>
          <w:bCs w:val="0"/>
          <w:color w:val="auto"/>
          <w:spacing w:val="0"/>
          <w:sz w:val="32"/>
          <w:szCs w:val="32"/>
          <w:highlight w:val="none"/>
          <w:lang w:val="en-US" w:eastAsia="zh-CN"/>
        </w:rPr>
        <w:t>、高新技术企业“接天连地”、科技领军企业“顶天立地”的</w:t>
      </w:r>
      <w:r>
        <w:rPr>
          <w:rFonts w:hint="eastAsia" w:ascii="仿宋_GB2312" w:hAnsi="仿宋_GB2312" w:eastAsia="仿宋_GB2312" w:cs="仿宋_GB2312"/>
          <w:b w:val="0"/>
          <w:bCs w:val="0"/>
          <w:color w:val="auto"/>
          <w:spacing w:val="0"/>
          <w:sz w:val="32"/>
          <w:szCs w:val="32"/>
          <w:highlight w:val="none"/>
          <w:lang w:val="en-US" w:eastAsia="zh-CN"/>
        </w:rPr>
        <w:t>创新格局。</w:t>
      </w:r>
      <w:r>
        <w:rPr>
          <w:rFonts w:hint="eastAsia" w:cs="仿宋_GB2312"/>
          <w:b w:val="0"/>
          <w:bCs w:val="0"/>
          <w:color w:val="auto"/>
          <w:spacing w:val="0"/>
          <w:sz w:val="32"/>
          <w:szCs w:val="32"/>
          <w:highlight w:val="none"/>
          <w:lang w:val="en-US" w:eastAsia="zh-CN"/>
        </w:rPr>
        <w:t>实施科技</w:t>
      </w:r>
      <w:r>
        <w:rPr>
          <w:rFonts w:hint="eastAsia" w:ascii="仿宋_GB2312" w:hAnsi="仿宋_GB2312" w:eastAsia="仿宋_GB2312" w:cs="仿宋_GB2312"/>
          <w:b w:val="0"/>
          <w:bCs w:val="0"/>
          <w:color w:val="auto"/>
          <w:spacing w:val="0"/>
          <w:sz w:val="32"/>
          <w:szCs w:val="32"/>
          <w:highlight w:val="none"/>
          <w:lang w:val="en-US" w:eastAsia="zh-CN"/>
        </w:rPr>
        <w:t>领军企业培育工程，强化“一企一策”精准培育，推动项目、平台、人才、资金、教育资源等创新要素向科技领军企业加速集聚</w:t>
      </w:r>
      <w:r>
        <w:rPr>
          <w:rFonts w:hint="eastAsia" w:cs="仿宋_GB2312"/>
          <w:b w:val="0"/>
          <w:bCs w:val="0"/>
          <w:color w:val="auto"/>
          <w:spacing w:val="0"/>
          <w:sz w:val="32"/>
          <w:szCs w:val="32"/>
          <w:highlight w:val="none"/>
          <w:lang w:val="en-US" w:eastAsia="zh-CN"/>
        </w:rPr>
        <w:t>。实施科技型中小企业培育工程，鼓励中小企业以产业链专业分工方式开展模块化创新，</w:t>
      </w:r>
      <w:r>
        <w:rPr>
          <w:rFonts w:hint="eastAsia" w:ascii="仿宋_GB2312" w:hAnsi="仿宋_GB2312" w:eastAsia="仿宋_GB2312" w:cs="仿宋_GB2312"/>
          <w:color w:val="auto"/>
          <w:spacing w:val="0"/>
          <w:sz w:val="32"/>
          <w:szCs w:val="32"/>
          <w:highlight w:val="none"/>
          <w:lang w:val="en-US" w:eastAsia="zh-CN"/>
        </w:rPr>
        <w:t>支持一批研发能力强、成长性高的科技型中小企业，纳入国家科技型中小企业信息库。</w:t>
      </w:r>
      <w:r>
        <w:rPr>
          <w:rFonts w:hint="eastAsia" w:cs="仿宋_GB2312"/>
          <w:b w:val="0"/>
          <w:bCs w:val="0"/>
          <w:color w:val="auto"/>
          <w:spacing w:val="0"/>
          <w:sz w:val="32"/>
          <w:szCs w:val="32"/>
          <w:highlight w:val="none"/>
          <w:lang w:val="en-US" w:eastAsia="zh-CN"/>
        </w:rPr>
        <w:t>实施高新技术企业培育工程，实施高新技术企业培育、认定、管理全周期闭环，加速推进高新企业“规模化”和规上企业“高新化”。</w:t>
      </w:r>
      <w:r>
        <w:rPr>
          <w:rFonts w:hint="eastAsia" w:ascii="仿宋_GB2312" w:hAnsi="仿宋_GB2312" w:eastAsia="仿宋_GB2312" w:cs="仿宋_GB2312"/>
          <w:b w:val="0"/>
          <w:bCs w:val="0"/>
          <w:color w:val="auto"/>
          <w:spacing w:val="0"/>
          <w:sz w:val="32"/>
          <w:szCs w:val="32"/>
          <w:highlight w:val="none"/>
          <w:lang w:val="en-US" w:eastAsia="zh-CN"/>
        </w:rPr>
        <w:t>到2030年，培育创新型中小企业、“专精特新”“瞪羚”等优质企业</w:t>
      </w:r>
      <w:r>
        <w:rPr>
          <w:rFonts w:hint="eastAsia" w:cs="仿宋_GB2312"/>
          <w:b w:val="0"/>
          <w:bCs w:val="0"/>
          <w:color w:val="auto"/>
          <w:spacing w:val="0"/>
          <w:sz w:val="32"/>
          <w:szCs w:val="32"/>
          <w:highlight w:val="none"/>
          <w:lang w:val="en-US" w:eastAsia="zh-CN"/>
        </w:rPr>
        <w:t>450</w:t>
      </w:r>
      <w:r>
        <w:rPr>
          <w:rFonts w:hint="eastAsia" w:ascii="仿宋_GB2312" w:hAnsi="仿宋_GB2312" w:eastAsia="仿宋_GB2312" w:cs="仿宋_GB2312"/>
          <w:b w:val="0"/>
          <w:bCs w:val="0"/>
          <w:color w:val="auto"/>
          <w:spacing w:val="0"/>
          <w:sz w:val="32"/>
          <w:szCs w:val="32"/>
          <w:highlight w:val="none"/>
          <w:lang w:val="en-US" w:eastAsia="zh-CN"/>
        </w:rPr>
        <w:t>家、高新技术企业</w:t>
      </w:r>
      <w:r>
        <w:rPr>
          <w:rFonts w:hint="eastAsia"/>
          <w:color w:val="auto"/>
          <w:spacing w:val="-2"/>
          <w:highlight w:val="none"/>
          <w:lang w:val="en-US" w:eastAsia="zh-CN"/>
        </w:rPr>
        <w:t>100家以上</w:t>
      </w:r>
      <w:r>
        <w:rPr>
          <w:color w:val="auto"/>
          <w:spacing w:val="-2"/>
          <w:highlight w:val="none"/>
        </w:rPr>
        <w:t>，入库国家科技型中小企业</w:t>
      </w:r>
      <w:r>
        <w:rPr>
          <w:rFonts w:hint="eastAsia"/>
          <w:color w:val="auto"/>
          <w:spacing w:val="-2"/>
          <w:highlight w:val="none"/>
          <w:lang w:val="en-US" w:eastAsia="zh-CN"/>
        </w:rPr>
        <w:t>150家以上</w:t>
      </w:r>
      <w:r>
        <w:rPr>
          <w:color w:val="auto"/>
          <w:spacing w:val="-2"/>
          <w:highlight w:val="none"/>
        </w:rPr>
        <w:t>。</w:t>
      </w:r>
    </w:p>
    <w:p w14:paraId="7F4DA633">
      <w:pPr>
        <w:keepNext w:val="0"/>
        <w:keepLines w:val="0"/>
        <w:pageBreakBefore w:val="0"/>
        <w:widowControl w:val="0"/>
        <w:shd w:val="clear"/>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（二）增强企业自主研发能力</w:t>
      </w:r>
      <w:r>
        <w:rPr>
          <w:rFonts w:hint="eastAsia" w:ascii="仿宋_GB2312" w:hAnsi="仿宋_GB2312" w:eastAsia="仿宋_GB2312" w:cs="仿宋_GB2312"/>
          <w:b w:val="0"/>
          <w:bCs w:val="0"/>
          <w:color w:val="auto"/>
          <w:spacing w:val="0"/>
          <w:sz w:val="32"/>
          <w:szCs w:val="32"/>
          <w:highlight w:val="none"/>
          <w:lang w:val="en-US" w:eastAsia="zh-CN"/>
        </w:rPr>
        <w:t>。</w:t>
      </w:r>
      <w:r>
        <w:rPr>
          <w:rFonts w:hint="eastAsia" w:cs="仿宋_GB2312"/>
          <w:b w:val="0"/>
          <w:bCs w:val="0"/>
          <w:color w:val="auto"/>
          <w:spacing w:val="0"/>
          <w:sz w:val="32"/>
          <w:szCs w:val="32"/>
          <w:highlight w:val="none"/>
          <w:lang w:val="en-US" w:eastAsia="zh-CN"/>
        </w:rPr>
        <w:t>支持</w:t>
      </w:r>
      <w:r>
        <w:rPr>
          <w:rFonts w:hint="eastAsia" w:ascii="仿宋_GB2312" w:hAnsi="仿宋_GB2312" w:eastAsia="仿宋_GB2312" w:cs="仿宋_GB2312"/>
          <w:b w:val="0"/>
          <w:bCs w:val="0"/>
          <w:color w:val="auto"/>
          <w:spacing w:val="0"/>
          <w:sz w:val="32"/>
          <w:szCs w:val="32"/>
          <w:highlight w:val="none"/>
          <w:lang w:val="en-US" w:eastAsia="zh-CN"/>
        </w:rPr>
        <w:t>企业增强自主研发，推动企业加大核心技术研发投入，落实好企业研发费用加计扣除、高新技术企业税收优惠等普惠性政策，引导国有企业探索建立研发准备金制度和研发投入刚性增长机制。强化企业创新平台建设，聚焦“3＋2”标志性产业链，</w:t>
      </w:r>
      <w:r>
        <w:rPr>
          <w:rFonts w:hint="eastAsia" w:cs="仿宋_GB2312"/>
          <w:b w:val="0"/>
          <w:bCs w:val="0"/>
          <w:color w:val="auto"/>
          <w:spacing w:val="0"/>
          <w:sz w:val="32"/>
          <w:szCs w:val="32"/>
          <w:highlight w:val="none"/>
          <w:lang w:val="en-US" w:eastAsia="zh-CN"/>
        </w:rPr>
        <w:t>鼓励</w:t>
      </w:r>
      <w:r>
        <w:rPr>
          <w:rFonts w:hint="eastAsia" w:ascii="仿宋_GB2312" w:hAnsi="仿宋_GB2312" w:eastAsia="仿宋_GB2312" w:cs="仿宋_GB2312"/>
          <w:b w:val="0"/>
          <w:bCs w:val="0"/>
          <w:color w:val="auto"/>
          <w:spacing w:val="0"/>
          <w:sz w:val="32"/>
          <w:szCs w:val="32"/>
          <w:highlight w:val="none"/>
          <w:lang w:val="en-US" w:eastAsia="zh-CN"/>
        </w:rPr>
        <w:t>企业</w:t>
      </w:r>
      <w:r>
        <w:rPr>
          <w:rFonts w:hint="eastAsia" w:cs="仿宋_GB2312"/>
          <w:b w:val="0"/>
          <w:bCs w:val="0"/>
          <w:color w:val="auto"/>
          <w:spacing w:val="0"/>
          <w:sz w:val="32"/>
          <w:szCs w:val="32"/>
          <w:highlight w:val="none"/>
          <w:lang w:val="en-US" w:eastAsia="zh-CN"/>
        </w:rPr>
        <w:t>打造</w:t>
      </w:r>
      <w:r>
        <w:rPr>
          <w:rFonts w:hint="eastAsia" w:ascii="仿宋_GB2312" w:hAnsi="仿宋_GB2312" w:eastAsia="仿宋_GB2312" w:cs="仿宋_GB2312"/>
          <w:b w:val="0"/>
          <w:bCs w:val="0"/>
          <w:color w:val="auto"/>
          <w:spacing w:val="0"/>
          <w:sz w:val="32"/>
          <w:szCs w:val="32"/>
          <w:highlight w:val="none"/>
          <w:lang w:val="en-US" w:eastAsia="zh-CN"/>
        </w:rPr>
        <w:t>技术创新中心、产业创新中心、制造业创新中心等高能级创新平台</w:t>
      </w:r>
      <w:r>
        <w:rPr>
          <w:rFonts w:hint="eastAsia" w:cs="仿宋_GB2312"/>
          <w:b w:val="0"/>
          <w:bCs w:val="0"/>
          <w:color w:val="auto"/>
          <w:spacing w:val="0"/>
          <w:sz w:val="32"/>
          <w:szCs w:val="32"/>
          <w:highlight w:val="none"/>
          <w:lang w:val="en-US" w:eastAsia="zh-CN"/>
        </w:rPr>
        <w:t>，高标准规划建设</w:t>
      </w:r>
      <w:r>
        <w:rPr>
          <w:rFonts w:hint="eastAsia" w:ascii="仿宋_GB2312" w:hAnsi="仿宋_GB2312" w:eastAsia="仿宋_GB2312" w:cs="仿宋_GB2312"/>
          <w:b w:val="0"/>
          <w:bCs w:val="0"/>
          <w:color w:val="auto"/>
          <w:spacing w:val="0"/>
          <w:sz w:val="32"/>
          <w:szCs w:val="32"/>
          <w:highlight w:val="none"/>
          <w:lang w:val="en-US" w:eastAsia="zh-CN"/>
        </w:rPr>
        <w:t>北部新区智能制造研究院</w:t>
      </w:r>
      <w:r>
        <w:rPr>
          <w:rFonts w:hint="eastAsia" w:cs="仿宋_GB2312"/>
          <w:b w:val="0"/>
          <w:bCs w:val="0"/>
          <w:color w:val="auto"/>
          <w:spacing w:val="0"/>
          <w:sz w:val="32"/>
          <w:szCs w:val="32"/>
          <w:highlight w:val="none"/>
          <w:lang w:val="en-US" w:eastAsia="zh-CN"/>
        </w:rPr>
        <w:t>，</w:t>
      </w:r>
      <w:r>
        <w:rPr>
          <w:rFonts w:hint="eastAsia" w:ascii="仿宋_GB2312" w:hAnsi="仿宋_GB2312" w:eastAsia="仿宋_GB2312" w:cs="仿宋_GB2312"/>
          <w:b w:val="0"/>
          <w:bCs w:val="0"/>
          <w:color w:val="auto"/>
          <w:spacing w:val="0"/>
          <w:sz w:val="32"/>
          <w:szCs w:val="32"/>
          <w:highlight w:val="none"/>
          <w:lang w:val="en-US" w:eastAsia="zh-CN"/>
        </w:rPr>
        <w:t>到2030年规模以上工业企业研发机构覆盖率</w:t>
      </w:r>
      <w:r>
        <w:rPr>
          <w:rFonts w:hint="eastAsia" w:cs="仿宋_GB2312"/>
          <w:b w:val="0"/>
          <w:bCs w:val="0"/>
          <w:color w:val="auto"/>
          <w:spacing w:val="0"/>
          <w:sz w:val="32"/>
          <w:szCs w:val="32"/>
          <w:highlight w:val="none"/>
          <w:lang w:val="en-US" w:eastAsia="zh-CN"/>
        </w:rPr>
        <w:t>实现75</w:t>
      </w:r>
      <w:r>
        <w:rPr>
          <w:rFonts w:hint="eastAsia" w:ascii="仿宋_GB2312" w:hAnsi="仿宋_GB2312" w:eastAsia="仿宋_GB2312" w:cs="仿宋_GB2312"/>
          <w:b w:val="0"/>
          <w:bCs w:val="0"/>
          <w:color w:val="auto"/>
          <w:spacing w:val="0"/>
          <w:sz w:val="32"/>
          <w:szCs w:val="32"/>
          <w:highlight w:val="none"/>
          <w:lang w:val="en-US" w:eastAsia="zh-CN"/>
        </w:rPr>
        <w:t>%。</w:t>
      </w:r>
    </w:p>
    <w:p w14:paraId="6936184D">
      <w:pPr>
        <w:keepNext w:val="0"/>
        <w:keepLines w:val="0"/>
        <w:pageBreakBefore w:val="0"/>
        <w:widowControl w:val="0"/>
        <w:shd w:val="clear"/>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（三）突出企业科研组织主导作用。</w:t>
      </w:r>
      <w:r>
        <w:rPr>
          <w:rFonts w:hint="eastAsia" w:ascii="仿宋_GB2312" w:hAnsi="仿宋_GB2312" w:eastAsia="仿宋_GB2312" w:cs="仿宋_GB2312"/>
          <w:b w:val="0"/>
          <w:bCs w:val="0"/>
          <w:color w:val="auto"/>
          <w:spacing w:val="0"/>
          <w:sz w:val="32"/>
          <w:szCs w:val="32"/>
          <w:highlight w:val="none"/>
          <w:lang w:val="en-US" w:eastAsia="zh-CN"/>
        </w:rPr>
        <w:t>推动产学研融通创新，支持</w:t>
      </w:r>
      <w:r>
        <w:rPr>
          <w:rFonts w:hint="eastAsia"/>
          <w:color w:val="auto"/>
          <w:spacing w:val="-12"/>
          <w:highlight w:val="none"/>
          <w:lang w:val="en-US" w:eastAsia="zh-CN"/>
        </w:rPr>
        <w:t>产业链</w:t>
      </w:r>
      <w:r>
        <w:rPr>
          <w:rFonts w:hint="eastAsia" w:cs="仿宋_GB2312"/>
          <w:b w:val="0"/>
          <w:bCs w:val="0"/>
          <w:color w:val="auto"/>
          <w:spacing w:val="0"/>
          <w:sz w:val="32"/>
          <w:szCs w:val="32"/>
          <w:highlight w:val="none"/>
          <w:lang w:val="en-US" w:eastAsia="zh-CN"/>
        </w:rPr>
        <w:t>领军企业联合高校、科研机构组建创新联合体</w:t>
      </w:r>
      <w:r>
        <w:rPr>
          <w:rFonts w:hint="eastAsia" w:ascii="仿宋_GB2312" w:hAnsi="仿宋_GB2312" w:eastAsia="仿宋_GB2312" w:cs="仿宋_GB2312"/>
          <w:b w:val="0"/>
          <w:bCs w:val="0"/>
          <w:color w:val="auto"/>
          <w:spacing w:val="0"/>
          <w:sz w:val="32"/>
          <w:szCs w:val="32"/>
          <w:highlight w:val="none"/>
          <w:lang w:val="en-US" w:eastAsia="zh-CN"/>
        </w:rPr>
        <w:t>，开展关键共性技术攻关</w:t>
      </w:r>
      <w:r>
        <w:rPr>
          <w:rFonts w:hint="eastAsia"/>
          <w:color w:val="auto"/>
          <w:spacing w:val="-11"/>
          <w:highlight w:val="none"/>
          <w:lang w:eastAsia="zh-CN"/>
        </w:rPr>
        <w:t>，</w:t>
      </w:r>
      <w:r>
        <w:rPr>
          <w:rFonts w:hint="eastAsia"/>
          <w:color w:val="auto"/>
          <w:spacing w:val="-11"/>
          <w:highlight w:val="none"/>
          <w:lang w:val="en-US" w:eastAsia="zh-CN"/>
        </w:rPr>
        <w:t>着力提升产业竞争力</w:t>
      </w:r>
      <w:r>
        <w:rPr>
          <w:rFonts w:hint="eastAsia" w:cs="仿宋_GB2312"/>
          <w:b w:val="0"/>
          <w:bCs w:val="0"/>
          <w:color w:val="auto"/>
          <w:spacing w:val="0"/>
          <w:sz w:val="32"/>
          <w:szCs w:val="32"/>
          <w:highlight w:val="none"/>
          <w:lang w:val="en-US" w:eastAsia="zh-CN"/>
        </w:rPr>
        <w:t>。提升企业技术创新自主决策能力，深化“揭榜制”等新型科研组织形式，赋予科技领军企业和人才更大的技术路线制定权、经费使用决定权。</w:t>
      </w:r>
      <w:r>
        <w:rPr>
          <w:rFonts w:hint="eastAsia" w:ascii="仿宋_GB2312" w:hAnsi="仿宋_GB2312" w:eastAsia="仿宋_GB2312" w:cs="仿宋_GB2312"/>
          <w:b w:val="0"/>
          <w:bCs w:val="0"/>
          <w:color w:val="auto"/>
          <w:spacing w:val="0"/>
          <w:sz w:val="32"/>
          <w:szCs w:val="32"/>
          <w:highlight w:val="none"/>
          <w:lang w:val="en-US" w:eastAsia="zh-CN"/>
        </w:rPr>
        <w:t>增强企业创新决策话语权，增强企业在重大技术创新方向确定和应用类科技项目遴选中的建议权</w:t>
      </w:r>
      <w:r>
        <w:rPr>
          <w:rFonts w:hint="eastAsia" w:cs="仿宋_GB2312"/>
          <w:b w:val="0"/>
          <w:bCs w:val="0"/>
          <w:color w:val="auto"/>
          <w:spacing w:val="0"/>
          <w:sz w:val="32"/>
          <w:szCs w:val="32"/>
          <w:highlight w:val="none"/>
          <w:lang w:val="en-US" w:eastAsia="zh-CN"/>
        </w:rPr>
        <w:t>。</w:t>
      </w:r>
    </w:p>
    <w:p w14:paraId="18017992">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sz w:val="32"/>
          <w:szCs w:val="22"/>
          <w:highlight w:val="none"/>
          <w:lang w:val="en-US" w:eastAsia="zh-CN"/>
        </w:rPr>
      </w:pPr>
      <w:bookmarkStart w:id="130" w:name="_Toc20233"/>
      <w:bookmarkStart w:id="131" w:name="_Toc9646"/>
      <w:bookmarkStart w:id="132" w:name="_Toc12859"/>
      <w:bookmarkStart w:id="133" w:name="_Toc21478"/>
      <w:bookmarkStart w:id="134" w:name="_Toc4246"/>
      <w:bookmarkStart w:id="135" w:name="_Toc17963"/>
      <w:bookmarkStart w:id="136" w:name="_Toc8790"/>
      <w:r>
        <w:rPr>
          <w:rFonts w:hint="eastAsia" w:ascii="黑体" w:hAnsi="黑体" w:eastAsia="黑体" w:cs="黑体"/>
          <w:color w:val="auto"/>
          <w:sz w:val="32"/>
          <w:szCs w:val="22"/>
          <w:highlight w:val="none"/>
          <w:lang w:val="en-US" w:eastAsia="zh-CN"/>
        </w:rPr>
        <w:t>二、</w:t>
      </w:r>
      <w:bookmarkEnd w:id="130"/>
      <w:bookmarkEnd w:id="131"/>
      <w:bookmarkEnd w:id="132"/>
      <w:bookmarkEnd w:id="133"/>
      <w:bookmarkEnd w:id="134"/>
      <w:r>
        <w:rPr>
          <w:rFonts w:hint="eastAsia" w:ascii="黑体" w:hAnsi="黑体" w:eastAsia="黑体" w:cs="黑体"/>
          <w:color w:val="auto"/>
          <w:sz w:val="32"/>
          <w:szCs w:val="22"/>
          <w:highlight w:val="none"/>
          <w:lang w:val="en-US" w:eastAsia="zh-CN"/>
        </w:rPr>
        <w:t>全面促进科技成果转化应用</w:t>
      </w:r>
      <w:bookmarkEnd w:id="135"/>
      <w:bookmarkEnd w:id="136"/>
    </w:p>
    <w:p w14:paraId="081975A6">
      <w:pPr>
        <w:keepNext w:val="0"/>
        <w:keepLines w:val="0"/>
        <w:pageBreakBefore w:val="0"/>
        <w:widowControl w:val="0"/>
        <w:shd w:val="clear"/>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构建全链条科技成果转化体系，畅通科技成果转移转化渠道，打通科技成果转化堵点，推动科技成果从“实验室”走向“生产线”。</w:t>
      </w:r>
    </w:p>
    <w:p w14:paraId="75CD40E8">
      <w:pPr>
        <w:keepNext w:val="0"/>
        <w:keepLines w:val="0"/>
        <w:pageBreakBefore w:val="0"/>
        <w:widowControl w:val="0"/>
        <w:shd w:val="clear"/>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（一）高标准推进“1＋4＋N”科技创新平台载体建设。</w:t>
      </w:r>
      <w:r>
        <w:rPr>
          <w:rFonts w:hint="eastAsia" w:ascii="仿宋_GB2312" w:hAnsi="仿宋_GB2312" w:eastAsia="仿宋_GB2312" w:cs="仿宋_GB2312"/>
          <w:b w:val="0"/>
          <w:bCs w:val="0"/>
          <w:color w:val="auto"/>
          <w:spacing w:val="0"/>
          <w:sz w:val="32"/>
          <w:szCs w:val="32"/>
          <w:highlight w:val="none"/>
          <w:lang w:val="en-US" w:eastAsia="zh-CN"/>
        </w:rPr>
        <w:t>重点打造特殊食品城，着力建设具有全国影响力的特殊食品创新</w:t>
      </w:r>
      <w:r>
        <w:rPr>
          <w:rFonts w:hint="eastAsia" w:cs="仿宋_GB2312"/>
          <w:b w:val="0"/>
          <w:bCs w:val="0"/>
          <w:color w:val="auto"/>
          <w:spacing w:val="0"/>
          <w:sz w:val="32"/>
          <w:szCs w:val="32"/>
          <w:highlight w:val="none"/>
          <w:lang w:val="en-US" w:eastAsia="zh-CN"/>
        </w:rPr>
        <w:t>集聚区</w:t>
      </w:r>
      <w:r>
        <w:rPr>
          <w:rFonts w:hint="eastAsia" w:ascii="仿宋_GB2312" w:hAnsi="仿宋_GB2312" w:eastAsia="仿宋_GB2312" w:cs="仿宋_GB2312"/>
          <w:b w:val="0"/>
          <w:bCs w:val="0"/>
          <w:color w:val="auto"/>
          <w:spacing w:val="0"/>
          <w:sz w:val="32"/>
          <w:szCs w:val="32"/>
          <w:highlight w:val="none"/>
          <w:lang w:val="en-US" w:eastAsia="zh-CN"/>
        </w:rPr>
        <w:t>和产业集群。升级建设达沃智慧产业园、联合智力创业产业园、少海汇科技产业园、济北生命科技产业园四大产业园区，打造集研发设计、成果转化、企业孵化于一体的科技创新综合体。统筹布局新型研发机构、技术创新中心、专家院士工作站等多元创新平台载体，</w:t>
      </w:r>
      <w:r>
        <w:rPr>
          <w:rFonts w:hint="default" w:ascii="仿宋_GB2312" w:hAnsi="仿宋_GB2312" w:eastAsia="仿宋_GB2312" w:cs="仿宋_GB2312"/>
          <w:b w:val="0"/>
          <w:bCs w:val="0"/>
          <w:color w:val="auto"/>
          <w:spacing w:val="0"/>
          <w:sz w:val="32"/>
          <w:szCs w:val="32"/>
          <w:highlight w:val="none"/>
          <w:lang w:val="en-US" w:eastAsia="zh-CN"/>
        </w:rPr>
        <w:t>围绕液压升降平台等优势产业，积极争取设备检测中心落地，与省特检院等权威机构合作共建公共检测服务平台，引进高端创新资源，突破关键核心技术瓶颈，形成“核心引领、多点支撑、全域协同”的科技创新发展格局。</w:t>
      </w:r>
    </w:p>
    <w:p w14:paraId="4B569A2B">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0" w:firstLineChars="0"/>
        <w:jc w:val="center"/>
        <w:textAlignment w:val="auto"/>
        <w:outlineLvl w:val="2"/>
        <w:rPr>
          <w:rFonts w:hint="eastAsia" w:ascii="楷体_GB2312" w:hAnsi="楷体_GB2312" w:eastAsia="楷体_GB2312" w:cs="楷体_GB2312"/>
          <w:b w:val="0"/>
          <w:bCs w:val="0"/>
          <w:color w:val="auto"/>
          <w:spacing w:val="0"/>
          <w:kern w:val="2"/>
          <w:sz w:val="28"/>
          <w:szCs w:val="28"/>
          <w:highlight w:val="none"/>
          <w:lang w:val="en-US" w:eastAsia="zh-CN"/>
        </w:rPr>
      </w:pPr>
      <w:bookmarkStart w:id="137" w:name="_Toc23189"/>
      <w:r>
        <w:rPr>
          <w:rFonts w:hint="eastAsia" w:ascii="楷体_GB2312" w:hAnsi="楷体_GB2312" w:eastAsia="楷体_GB2312" w:cs="楷体_GB2312"/>
          <w:b w:val="0"/>
          <w:bCs w:val="0"/>
          <w:color w:val="auto"/>
          <w:spacing w:val="0"/>
          <w:kern w:val="2"/>
          <w:sz w:val="28"/>
          <w:szCs w:val="28"/>
          <w:highlight w:val="none"/>
          <w:lang w:val="en-US" w:eastAsia="zh-CN"/>
        </w:rPr>
        <w:t>专栏5  科技创新重大设施平台</w:t>
      </w:r>
      <w:bookmarkEnd w:id="137"/>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430B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tcBorders>
              <w:left w:val="nil"/>
              <w:right w:val="nil"/>
            </w:tcBorders>
          </w:tcPr>
          <w:p w14:paraId="76506C0F">
            <w:pPr>
              <w:keepNext w:val="0"/>
              <w:keepLines w:val="0"/>
              <w:pageBreakBefore w:val="0"/>
              <w:widowControl w:val="0"/>
              <w:shd w:val="clear"/>
              <w:kinsoku/>
              <w:wordWrap/>
              <w:overflowPunct w:val="0"/>
              <w:topLinePunct w:val="0"/>
              <w:autoSpaceDE/>
              <w:autoSpaceDN/>
              <w:bidi w:val="0"/>
              <w:adjustRightInd/>
              <w:snapToGrid/>
              <w:spacing w:line="480" w:lineRule="exact"/>
              <w:ind w:firstLine="562" w:firstLineChars="200"/>
              <w:jc w:val="both"/>
              <w:textAlignment w:val="auto"/>
              <w:rPr>
                <w:rFonts w:hint="eastAsia" w:ascii="楷体_GB2312" w:hAnsi="楷体_GB2312" w:eastAsia="楷体_GB2312" w:cs="楷体_GB2312"/>
                <w:b w:val="0"/>
                <w:bCs w:val="0"/>
                <w:color w:val="auto"/>
                <w:spacing w:val="0"/>
                <w:sz w:val="28"/>
                <w:szCs w:val="28"/>
                <w:highlight w:val="none"/>
                <w:lang w:val="en-US" w:eastAsia="zh-CN"/>
              </w:rPr>
            </w:pPr>
            <w:r>
              <w:rPr>
                <w:rFonts w:hint="eastAsia" w:ascii="楷体_GB2312" w:hAnsi="楷体_GB2312" w:eastAsia="楷体_GB2312" w:cs="楷体_GB2312"/>
                <w:b/>
                <w:bCs/>
                <w:color w:val="auto"/>
                <w:spacing w:val="0"/>
                <w:sz w:val="28"/>
                <w:szCs w:val="28"/>
                <w:highlight w:val="none"/>
                <w:lang w:val="en-US" w:eastAsia="zh-CN"/>
              </w:rPr>
              <w:t>1.创新平台：</w:t>
            </w:r>
            <w:r>
              <w:rPr>
                <w:rFonts w:hint="eastAsia" w:ascii="楷体_GB2312" w:hAnsi="楷体_GB2312" w:eastAsia="楷体_GB2312" w:cs="楷体_GB2312"/>
                <w:b w:val="0"/>
                <w:bCs w:val="0"/>
                <w:color w:val="auto"/>
                <w:spacing w:val="0"/>
                <w:sz w:val="28"/>
                <w:szCs w:val="28"/>
                <w:highlight w:val="none"/>
                <w:lang w:val="en-US" w:eastAsia="zh-CN"/>
              </w:rPr>
              <w:t>（1）新增省级以上企业技术中心和工程研究中心5家以上；（2）省级重点实验室，力争新增1家以上。</w:t>
            </w:r>
          </w:p>
          <w:p w14:paraId="0500B4D5">
            <w:pPr>
              <w:keepNext w:val="0"/>
              <w:keepLines w:val="0"/>
              <w:pageBreakBefore w:val="0"/>
              <w:widowControl w:val="0"/>
              <w:shd w:val="clear"/>
              <w:kinsoku/>
              <w:wordWrap/>
              <w:overflowPunct w:val="0"/>
              <w:topLinePunct w:val="0"/>
              <w:autoSpaceDE/>
              <w:autoSpaceDN/>
              <w:bidi w:val="0"/>
              <w:adjustRightInd/>
              <w:snapToGrid/>
              <w:spacing w:line="480" w:lineRule="exact"/>
              <w:ind w:firstLine="562" w:firstLineChars="200"/>
              <w:jc w:val="both"/>
              <w:textAlignment w:val="auto"/>
              <w:rPr>
                <w:rFonts w:hint="eastAsia" w:ascii="楷体_GB2312" w:hAnsi="楷体_GB2312" w:eastAsia="楷体_GB2312" w:cs="楷体_GB2312"/>
                <w:b w:val="0"/>
                <w:bCs w:val="0"/>
                <w:color w:val="auto"/>
                <w:spacing w:val="0"/>
                <w:sz w:val="28"/>
                <w:szCs w:val="28"/>
                <w:highlight w:val="none"/>
                <w:vertAlign w:val="baseline"/>
                <w:lang w:val="en-US" w:eastAsia="zh-CN"/>
              </w:rPr>
            </w:pPr>
            <w:r>
              <w:rPr>
                <w:rFonts w:hint="eastAsia" w:ascii="楷体_GB2312" w:hAnsi="楷体_GB2312" w:eastAsia="楷体_GB2312" w:cs="楷体_GB2312"/>
                <w:b/>
                <w:bCs/>
                <w:color w:val="auto"/>
                <w:spacing w:val="0"/>
                <w:sz w:val="28"/>
                <w:szCs w:val="28"/>
                <w:highlight w:val="none"/>
                <w:lang w:val="en-US" w:eastAsia="zh-CN"/>
              </w:rPr>
              <w:t>2.科技基础设施：</w:t>
            </w:r>
            <w:r>
              <w:rPr>
                <w:rFonts w:hint="eastAsia" w:ascii="楷体_GB2312" w:hAnsi="楷体_GB2312" w:eastAsia="楷体_GB2312" w:cs="楷体_GB2312"/>
                <w:b w:val="0"/>
                <w:bCs w:val="0"/>
                <w:color w:val="auto"/>
                <w:spacing w:val="0"/>
                <w:sz w:val="28"/>
                <w:szCs w:val="28"/>
                <w:highlight w:val="none"/>
                <w:lang w:val="en-US" w:eastAsia="zh-CN"/>
              </w:rPr>
              <w:t>齐鲁工业大学（山东省科学院）海峡两岸产业合作区科技成果转化中心。</w:t>
            </w:r>
          </w:p>
        </w:tc>
      </w:tr>
    </w:tbl>
    <w:p w14:paraId="630030F1">
      <w:pPr>
        <w:keepNext w:val="0"/>
        <w:keepLines w:val="0"/>
        <w:pageBreakBefore w:val="0"/>
        <w:widowControl w:val="0"/>
        <w:numPr>
          <w:ilvl w:val="-1"/>
          <w:numId w:val="0"/>
        </w:numPr>
        <w:suppressLineNumbers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auto"/>
          <w:spacing w:val="0"/>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（二）畅通科技成果转移转化渠道。</w:t>
      </w:r>
      <w:r>
        <w:rPr>
          <w:rFonts w:hint="eastAsia" w:ascii="仿宋_GB2312" w:hAnsi="仿宋_GB2312" w:eastAsia="仿宋_GB2312" w:cs="仿宋_GB2312"/>
          <w:color w:val="auto"/>
          <w:spacing w:val="0"/>
          <w:sz w:val="32"/>
          <w:szCs w:val="32"/>
          <w:highlight w:val="none"/>
          <w:lang w:val="en-US" w:eastAsia="zh-CN"/>
        </w:rPr>
        <w:t>探索“拨改投”“股权投资”等科技投入方式，围绕</w:t>
      </w:r>
      <w:r>
        <w:rPr>
          <w:rFonts w:hint="eastAsia" w:cs="仿宋_GB2312"/>
          <w:color w:val="auto"/>
          <w:spacing w:val="0"/>
          <w:sz w:val="32"/>
          <w:szCs w:val="32"/>
          <w:highlight w:val="none"/>
          <w:lang w:val="en-US" w:eastAsia="zh-CN"/>
        </w:rPr>
        <w:t>“3＋2”</w:t>
      </w:r>
      <w:r>
        <w:rPr>
          <w:rFonts w:hint="eastAsia" w:ascii="仿宋_GB2312" w:hAnsi="仿宋_GB2312" w:eastAsia="仿宋_GB2312" w:cs="仿宋_GB2312"/>
          <w:b w:val="0"/>
          <w:bCs w:val="0"/>
          <w:color w:val="auto"/>
          <w:spacing w:val="0"/>
          <w:sz w:val="32"/>
          <w:szCs w:val="32"/>
          <w:highlight w:val="none"/>
          <w:lang w:val="en-US" w:eastAsia="zh-CN"/>
        </w:rPr>
        <w:t>标志性产业链</w:t>
      </w:r>
      <w:r>
        <w:rPr>
          <w:rFonts w:hint="eastAsia" w:ascii="仿宋_GB2312" w:hAnsi="仿宋_GB2312" w:eastAsia="仿宋_GB2312" w:cs="仿宋_GB2312"/>
          <w:color w:val="auto"/>
          <w:spacing w:val="0"/>
          <w:sz w:val="32"/>
          <w:szCs w:val="32"/>
          <w:highlight w:val="none"/>
          <w:lang w:val="en-US" w:eastAsia="zh-CN"/>
        </w:rPr>
        <w:t>，探索建立科技成果转化联合体、科技成果产业化基地，构建“研发</w:t>
      </w:r>
      <w:r>
        <w:rPr>
          <w:rFonts w:hint="eastAsia" w:cs="仿宋_GB2312"/>
          <w:color w:val="auto"/>
          <w:spacing w:val="0"/>
          <w:sz w:val="32"/>
          <w:szCs w:val="32"/>
          <w:highlight w:val="none"/>
          <w:lang w:val="en-US" w:eastAsia="zh-CN"/>
        </w:rPr>
        <w:t>-</w:t>
      </w:r>
      <w:r>
        <w:rPr>
          <w:rFonts w:hint="eastAsia" w:ascii="仿宋_GB2312" w:hAnsi="仿宋_GB2312" w:eastAsia="仿宋_GB2312" w:cs="仿宋_GB2312"/>
          <w:color w:val="auto"/>
          <w:spacing w:val="0"/>
          <w:sz w:val="32"/>
          <w:szCs w:val="32"/>
          <w:highlight w:val="none"/>
          <w:lang w:val="en-US" w:eastAsia="zh-CN"/>
        </w:rPr>
        <w:t>中试</w:t>
      </w:r>
      <w:r>
        <w:rPr>
          <w:rFonts w:hint="eastAsia" w:cs="仿宋_GB2312"/>
          <w:color w:val="auto"/>
          <w:spacing w:val="0"/>
          <w:sz w:val="32"/>
          <w:szCs w:val="32"/>
          <w:highlight w:val="none"/>
          <w:lang w:val="en-US" w:eastAsia="zh-CN"/>
        </w:rPr>
        <w:t>-</w:t>
      </w:r>
      <w:r>
        <w:rPr>
          <w:rFonts w:hint="eastAsia" w:ascii="仿宋_GB2312" w:hAnsi="仿宋_GB2312" w:eastAsia="仿宋_GB2312" w:cs="仿宋_GB2312"/>
          <w:color w:val="auto"/>
          <w:spacing w:val="0"/>
          <w:sz w:val="32"/>
          <w:szCs w:val="32"/>
          <w:highlight w:val="none"/>
          <w:lang w:val="en-US" w:eastAsia="zh-CN"/>
        </w:rPr>
        <w:t>产业化”创新链，打通科技成果转化“最后一公里”。强化“场景创新”驱动，建立“场景需求牵引</w:t>
      </w:r>
      <w:r>
        <w:rPr>
          <w:rFonts w:hint="eastAsia" w:cs="仿宋_GB2312"/>
          <w:color w:val="auto"/>
          <w:spacing w:val="0"/>
          <w:sz w:val="32"/>
          <w:szCs w:val="32"/>
          <w:highlight w:val="none"/>
          <w:lang w:val="en-US" w:eastAsia="zh-CN"/>
        </w:rPr>
        <w:t>-</w:t>
      </w:r>
      <w:r>
        <w:rPr>
          <w:rFonts w:hint="eastAsia" w:ascii="仿宋_GB2312" w:hAnsi="仿宋_GB2312" w:eastAsia="仿宋_GB2312" w:cs="仿宋_GB2312"/>
          <w:color w:val="auto"/>
          <w:spacing w:val="0"/>
          <w:sz w:val="32"/>
          <w:szCs w:val="32"/>
          <w:highlight w:val="none"/>
          <w:lang w:val="en-US" w:eastAsia="zh-CN"/>
        </w:rPr>
        <w:t>成果精准对接</w:t>
      </w:r>
      <w:r>
        <w:rPr>
          <w:rFonts w:hint="eastAsia" w:cs="仿宋_GB2312"/>
          <w:color w:val="auto"/>
          <w:spacing w:val="0"/>
          <w:sz w:val="32"/>
          <w:szCs w:val="32"/>
          <w:highlight w:val="none"/>
          <w:lang w:val="en-US" w:eastAsia="zh-CN"/>
        </w:rPr>
        <w:t>-</w:t>
      </w:r>
      <w:r>
        <w:rPr>
          <w:rFonts w:hint="eastAsia" w:ascii="仿宋_GB2312" w:hAnsi="仿宋_GB2312" w:eastAsia="仿宋_GB2312" w:cs="仿宋_GB2312"/>
          <w:color w:val="auto"/>
          <w:spacing w:val="0"/>
          <w:sz w:val="32"/>
          <w:szCs w:val="32"/>
          <w:highlight w:val="none"/>
          <w:lang w:val="en-US" w:eastAsia="zh-CN"/>
        </w:rPr>
        <w:t>政策闭环支持”机制，推动政府机关、企业等开放创新资源和场景机会，</w:t>
      </w:r>
      <w:r>
        <w:rPr>
          <w:rFonts w:hint="eastAsia" w:cs="仿宋_GB2312"/>
          <w:color w:val="auto"/>
          <w:spacing w:val="0"/>
          <w:sz w:val="32"/>
          <w:szCs w:val="32"/>
          <w:highlight w:val="none"/>
          <w:lang w:val="en-US" w:eastAsia="zh-CN"/>
        </w:rPr>
        <w:t>围绕</w:t>
      </w:r>
      <w:r>
        <w:rPr>
          <w:rFonts w:hint="eastAsia" w:ascii="仿宋_GB2312" w:hAnsi="仿宋_GB2312" w:eastAsia="仿宋_GB2312" w:cs="仿宋_GB2312"/>
          <w:color w:val="auto"/>
          <w:spacing w:val="0"/>
          <w:sz w:val="32"/>
          <w:szCs w:val="32"/>
          <w:highlight w:val="none"/>
          <w:lang w:val="en-US" w:eastAsia="zh-CN"/>
        </w:rPr>
        <w:t>智慧政务、智慧交通、智慧医疗、智能制造等重点领域发布“机会清单”，支持企业“先用后转”，打造一批可复制可推广的成果转化应用场景。</w:t>
      </w:r>
      <w:r>
        <w:rPr>
          <w:rFonts w:hint="eastAsia" w:ascii="FangSong_GB2312" w:hAnsi="FangSong_GB2312" w:eastAsia="FangSong_GB2312"/>
          <w:color w:val="auto"/>
          <w:sz w:val="32"/>
          <w:szCs w:val="24"/>
          <w:highlight w:val="none"/>
        </w:rPr>
        <w:t>实施技术经理人队伍壮大提升计划，建设标准化、规范化、专业化技术经理人培养体系，力争到2030年全区懂技术、懂产业、懂投资的复合型技术经理人规模达到</w:t>
      </w:r>
      <w:r>
        <w:rPr>
          <w:rFonts w:hint="eastAsia" w:ascii="FangSong_GB2312" w:hAnsi="FangSong_GB2312" w:eastAsia="FangSong_GB2312"/>
          <w:color w:val="auto"/>
          <w:sz w:val="32"/>
          <w:szCs w:val="24"/>
          <w:highlight w:val="none"/>
          <w:lang w:val="en-US" w:eastAsia="zh-CN"/>
        </w:rPr>
        <w:t>100</w:t>
      </w:r>
      <w:r>
        <w:rPr>
          <w:rFonts w:hint="eastAsia" w:ascii="FangSong_GB2312" w:hAnsi="FangSong_GB2312" w:eastAsia="FangSong_GB2312"/>
          <w:color w:val="auto"/>
          <w:sz w:val="32"/>
          <w:szCs w:val="24"/>
          <w:highlight w:val="none"/>
        </w:rPr>
        <w:t>人。</w:t>
      </w:r>
      <w:r>
        <w:rPr>
          <w:rFonts w:hint="eastAsia"/>
          <w:color w:val="auto"/>
          <w:highlight w:val="none"/>
        </w:rPr>
        <w:t>深化</w:t>
      </w:r>
      <w:r>
        <w:rPr>
          <w:rFonts w:hint="eastAsia"/>
          <w:color w:val="auto"/>
          <w:highlight w:val="none"/>
          <w:lang w:val="en-US" w:eastAsia="zh-CN"/>
        </w:rPr>
        <w:t>与济南新旧动能转换</w:t>
      </w:r>
      <w:r>
        <w:rPr>
          <w:rFonts w:hint="eastAsia" w:cs="仿宋_GB2312"/>
          <w:color w:val="auto"/>
          <w:spacing w:val="0"/>
          <w:sz w:val="32"/>
          <w:szCs w:val="32"/>
          <w:highlight w:val="none"/>
          <w:lang w:val="en-US" w:eastAsia="zh-CN"/>
        </w:rPr>
        <w:t>起步区、历下区结对共促发展</w:t>
      </w:r>
      <w:r>
        <w:rPr>
          <w:rFonts w:hint="eastAsia"/>
          <w:color w:val="auto"/>
          <w:highlight w:val="none"/>
          <w:lang w:eastAsia="zh-CN"/>
        </w:rPr>
        <w:t>，联合开展成果推介与对接</w:t>
      </w:r>
      <w:r>
        <w:rPr>
          <w:rFonts w:hint="eastAsia"/>
          <w:color w:val="auto"/>
          <w:highlight w:val="none"/>
          <w:lang w:val="en-US" w:eastAsia="zh-CN"/>
        </w:rPr>
        <w:t>，引导更多科技成果在济阳落地转化</w:t>
      </w:r>
      <w:r>
        <w:rPr>
          <w:rFonts w:hint="eastAsia"/>
          <w:color w:val="auto"/>
          <w:highlight w:val="none"/>
        </w:rPr>
        <w:t>。</w:t>
      </w:r>
    </w:p>
    <w:p w14:paraId="78ADD69B">
      <w:pPr>
        <w:keepNext w:val="0"/>
        <w:keepLines w:val="0"/>
        <w:pageBreakBefore w:val="0"/>
        <w:widowControl w:val="0"/>
        <w:shd w:val="clear"/>
        <w:kinsoku/>
        <w:wordWrap/>
        <w:overflowPunct w:val="0"/>
        <w:topLinePunct w:val="0"/>
        <w:autoSpaceDE/>
        <w:autoSpaceDN/>
        <w:bidi w:val="0"/>
        <w:adjustRightInd/>
        <w:snapToGrid/>
        <w:spacing w:afterAutospacing="0" w:line="600" w:lineRule="exact"/>
        <w:ind w:left="0" w:leftChars="0" w:firstLine="640" w:firstLineChars="200"/>
        <w:jc w:val="both"/>
        <w:textAlignment w:val="auto"/>
        <w:rPr>
          <w:rFonts w:hint="eastAsia"/>
          <w:color w:val="auto"/>
          <w:sz w:val="28"/>
          <w:szCs w:val="21"/>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（三）构建全产业链科技成果转化体系。</w:t>
      </w:r>
      <w:r>
        <w:rPr>
          <w:rFonts w:hint="eastAsia" w:ascii="仿宋_GB2312" w:hAnsi="仿宋_GB2312" w:eastAsia="仿宋_GB2312" w:cs="仿宋_GB2312"/>
          <w:b w:val="0"/>
          <w:bCs w:val="0"/>
          <w:color w:val="auto"/>
          <w:spacing w:val="0"/>
          <w:sz w:val="32"/>
          <w:szCs w:val="32"/>
          <w:highlight w:val="none"/>
          <w:lang w:val="en-US" w:eastAsia="zh-CN"/>
        </w:rPr>
        <w:t>加大农业科技创新力度，聚焦曲堤黄瓜、仁风西瓜、垛石番茄、现代种苗等特色农业产业，加大与省农科院、山东农业大学对接力度，促进产品提升品质，增加附加值。聚焦</w:t>
      </w:r>
      <w:r>
        <w:rPr>
          <w:rFonts w:hint="eastAsia" w:cs="仿宋_GB2312"/>
          <w:b w:val="0"/>
          <w:bCs w:val="0"/>
          <w:color w:val="auto"/>
          <w:spacing w:val="0"/>
          <w:sz w:val="32"/>
          <w:szCs w:val="32"/>
          <w:highlight w:val="none"/>
          <w:lang w:val="en-US" w:eastAsia="zh-CN"/>
        </w:rPr>
        <w:t>“3＋2”</w:t>
      </w:r>
      <w:r>
        <w:rPr>
          <w:rFonts w:hint="eastAsia" w:ascii="仿宋_GB2312" w:hAnsi="仿宋_GB2312" w:eastAsia="仿宋_GB2312" w:cs="仿宋_GB2312"/>
          <w:b w:val="0"/>
          <w:bCs w:val="0"/>
          <w:color w:val="auto"/>
          <w:spacing w:val="0"/>
          <w:sz w:val="32"/>
          <w:szCs w:val="32"/>
          <w:highlight w:val="none"/>
          <w:lang w:val="en-US" w:eastAsia="zh-CN"/>
        </w:rPr>
        <w:t>标志性产业链，推动智能制造、</w:t>
      </w:r>
      <w:r>
        <w:rPr>
          <w:rFonts w:hint="eastAsia" w:cs="仿宋_GB2312"/>
          <w:b w:val="0"/>
          <w:bCs w:val="0"/>
          <w:color w:val="auto"/>
          <w:spacing w:val="0"/>
          <w:sz w:val="32"/>
          <w:szCs w:val="32"/>
          <w:highlight w:val="none"/>
          <w:lang w:val="en-US" w:eastAsia="zh-CN"/>
        </w:rPr>
        <w:t>特殊</w:t>
      </w:r>
      <w:r>
        <w:rPr>
          <w:rFonts w:hint="eastAsia" w:ascii="仿宋_GB2312" w:hAnsi="仿宋_GB2312" w:eastAsia="仿宋_GB2312" w:cs="仿宋_GB2312"/>
          <w:b w:val="0"/>
          <w:bCs w:val="0"/>
          <w:color w:val="auto"/>
          <w:spacing w:val="0"/>
          <w:sz w:val="32"/>
          <w:szCs w:val="32"/>
          <w:highlight w:val="none"/>
          <w:lang w:val="en-US" w:eastAsia="zh-CN"/>
        </w:rPr>
        <w:t>食品技术等成果产业化。依托齐鲁工业大学（省科学院）海峡两岸产业合作区科技成果转化中心，联合高校、科研院所开展智能装备、特</w:t>
      </w:r>
      <w:r>
        <w:rPr>
          <w:rFonts w:hint="eastAsia" w:cs="仿宋_GB2312"/>
          <w:b w:val="0"/>
          <w:bCs w:val="0"/>
          <w:color w:val="auto"/>
          <w:spacing w:val="0"/>
          <w:sz w:val="32"/>
          <w:szCs w:val="32"/>
          <w:highlight w:val="none"/>
          <w:lang w:val="en-US" w:eastAsia="zh-CN"/>
        </w:rPr>
        <w:t>殊</w:t>
      </w:r>
      <w:r>
        <w:rPr>
          <w:rFonts w:hint="eastAsia" w:ascii="仿宋_GB2312" w:hAnsi="仿宋_GB2312" w:eastAsia="仿宋_GB2312" w:cs="仿宋_GB2312"/>
          <w:b w:val="0"/>
          <w:bCs w:val="0"/>
          <w:color w:val="auto"/>
          <w:spacing w:val="0"/>
          <w:sz w:val="32"/>
          <w:szCs w:val="32"/>
          <w:highlight w:val="none"/>
          <w:lang w:val="en-US" w:eastAsia="zh-CN"/>
        </w:rPr>
        <w:t>食品、激光技术、生物医药等关键技术攻关，精准对接产业需求，加速科技成果从技术原型向规模化生产转化，为主导产业升级赋能。以建设</w:t>
      </w:r>
      <w:r>
        <w:rPr>
          <w:rFonts w:hint="eastAsia" w:cs="仿宋_GB2312"/>
          <w:b w:val="0"/>
          <w:bCs w:val="0"/>
          <w:color w:val="auto"/>
          <w:spacing w:val="0"/>
          <w:sz w:val="32"/>
          <w:szCs w:val="32"/>
          <w:highlight w:val="none"/>
          <w:lang w:val="en-US" w:eastAsia="zh-CN"/>
        </w:rPr>
        <w:t>济南黄河北</w:t>
      </w:r>
      <w:r>
        <w:rPr>
          <w:rFonts w:hint="eastAsia" w:ascii="仿宋_GB2312" w:hAnsi="仿宋_GB2312" w:eastAsia="仿宋_GB2312" w:cs="仿宋_GB2312"/>
          <w:b w:val="0"/>
          <w:bCs w:val="0"/>
          <w:color w:val="auto"/>
          <w:spacing w:val="0"/>
          <w:sz w:val="32"/>
          <w:szCs w:val="32"/>
          <w:highlight w:val="none"/>
          <w:lang w:val="en-US" w:eastAsia="zh-CN"/>
        </w:rPr>
        <w:t>区域性消费中心为目标，推动数字技术与文旅、物流融合，将智慧物流、文旅数字化运营成果融入现代服务业，鼓励探索“旅游</w:t>
      </w:r>
      <w:r>
        <w:rPr>
          <w:rFonts w:hint="eastAsia" w:cs="仿宋_GB2312"/>
          <w:b w:val="0"/>
          <w:bCs w:val="0"/>
          <w:color w:val="auto"/>
          <w:spacing w:val="0"/>
          <w:sz w:val="32"/>
          <w:szCs w:val="32"/>
          <w:highlight w:val="none"/>
          <w:lang w:val="en-US" w:eastAsia="zh-CN"/>
        </w:rPr>
        <w:t>＋</w:t>
      </w:r>
      <w:r>
        <w:rPr>
          <w:rFonts w:hint="eastAsia" w:ascii="仿宋_GB2312" w:hAnsi="仿宋_GB2312" w:eastAsia="仿宋_GB2312" w:cs="仿宋_GB2312"/>
          <w:b w:val="0"/>
          <w:bCs w:val="0"/>
          <w:color w:val="auto"/>
          <w:spacing w:val="0"/>
          <w:sz w:val="32"/>
          <w:szCs w:val="32"/>
          <w:highlight w:val="none"/>
          <w:lang w:val="en-US" w:eastAsia="zh-CN"/>
        </w:rPr>
        <w:t>”“物流</w:t>
      </w:r>
      <w:r>
        <w:rPr>
          <w:rFonts w:hint="eastAsia" w:cs="仿宋_GB2312"/>
          <w:b w:val="0"/>
          <w:bCs w:val="0"/>
          <w:color w:val="auto"/>
          <w:spacing w:val="0"/>
          <w:sz w:val="32"/>
          <w:szCs w:val="32"/>
          <w:highlight w:val="none"/>
          <w:lang w:val="en-US" w:eastAsia="zh-CN"/>
        </w:rPr>
        <w:t>＋</w:t>
      </w:r>
      <w:r>
        <w:rPr>
          <w:rFonts w:hint="eastAsia" w:ascii="仿宋_GB2312" w:hAnsi="仿宋_GB2312" w:eastAsia="仿宋_GB2312" w:cs="仿宋_GB2312"/>
          <w:b w:val="0"/>
          <w:bCs w:val="0"/>
          <w:color w:val="auto"/>
          <w:spacing w:val="0"/>
          <w:sz w:val="32"/>
          <w:szCs w:val="32"/>
          <w:highlight w:val="none"/>
          <w:lang w:val="en-US" w:eastAsia="zh-CN"/>
        </w:rPr>
        <w:t>”转化模式，联动生产性服务业与先进制造业。</w:t>
      </w:r>
    </w:p>
    <w:p w14:paraId="631F5BD7">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default" w:ascii="黑体" w:hAnsi="黑体" w:eastAsia="黑体" w:cs="黑体"/>
          <w:color w:val="auto"/>
          <w:sz w:val="32"/>
          <w:szCs w:val="22"/>
          <w:highlight w:val="none"/>
          <w:lang w:val="en-US" w:eastAsia="zh-CN"/>
        </w:rPr>
      </w:pPr>
      <w:bookmarkStart w:id="138" w:name="_Toc29476"/>
      <w:bookmarkStart w:id="139" w:name="_Toc22804"/>
      <w:bookmarkStart w:id="140" w:name="_Toc2044"/>
      <w:bookmarkStart w:id="141" w:name="_Toc30846"/>
      <w:bookmarkStart w:id="142" w:name="_Toc28822"/>
      <w:bookmarkStart w:id="143" w:name="_Toc8569"/>
      <w:bookmarkStart w:id="144" w:name="_Toc20566"/>
      <w:bookmarkStart w:id="145" w:name="_Toc26030"/>
      <w:r>
        <w:rPr>
          <w:rFonts w:hint="eastAsia" w:ascii="黑体" w:hAnsi="黑体" w:eastAsia="黑体" w:cs="黑体"/>
          <w:color w:val="auto"/>
          <w:sz w:val="32"/>
          <w:szCs w:val="22"/>
          <w:highlight w:val="none"/>
          <w:lang w:val="en-US" w:eastAsia="zh-CN"/>
        </w:rPr>
        <w:t>三、激发人才创新创业活力</w:t>
      </w:r>
      <w:bookmarkEnd w:id="138"/>
      <w:bookmarkEnd w:id="139"/>
      <w:bookmarkEnd w:id="140"/>
    </w:p>
    <w:p w14:paraId="66AFB376">
      <w:pPr>
        <w:keepNext w:val="0"/>
        <w:keepLines w:val="0"/>
        <w:pageBreakBefore w:val="0"/>
        <w:widowControl w:val="0"/>
        <w:shd w:val="clear"/>
        <w:kinsoku/>
        <w:wordWrap/>
        <w:topLinePunct w:val="0"/>
        <w:autoSpaceDE/>
        <w:autoSpaceDN/>
        <w:bidi w:val="0"/>
        <w:spacing w:line="600" w:lineRule="exact"/>
        <w:textAlignment w:val="auto"/>
        <w:rPr>
          <w:rFonts w:hint="eastAsia"/>
          <w:color w:val="auto"/>
          <w:highlight w:val="none"/>
          <w:lang w:val="en-US" w:eastAsia="zh-CN"/>
        </w:rPr>
      </w:pPr>
      <w:r>
        <w:rPr>
          <w:rFonts w:hint="eastAsia"/>
          <w:color w:val="auto"/>
          <w:highlight w:val="none"/>
          <w:lang w:val="en-US" w:eastAsia="zh-CN"/>
        </w:rPr>
        <w:t>深化人才链、教育链、产业链、创新链融合发展，以开放思维整合优质资源、凝聚高端人才，打造科教融合和人才集聚区。</w:t>
      </w:r>
    </w:p>
    <w:p w14:paraId="07CFFA12">
      <w:pPr>
        <w:keepNext w:val="0"/>
        <w:keepLines w:val="0"/>
        <w:pageBreakBefore w:val="0"/>
        <w:widowControl w:val="0"/>
        <w:shd w:val="clear"/>
        <w:kinsoku/>
        <w:wordWrap/>
        <w:overflowPunct/>
        <w:topLinePunct w:val="0"/>
        <w:autoSpaceDE/>
        <w:autoSpaceDN/>
        <w:bidi w:val="0"/>
        <w:adjustRightInd/>
        <w:snapToGrid/>
        <w:spacing w:line="600" w:lineRule="exact"/>
        <w:ind w:firstLine="640" w:firstLineChars="200"/>
        <w:textAlignment w:val="auto"/>
        <w:rPr>
          <w:rFonts w:hint="eastAsia"/>
          <w:color w:val="auto"/>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（一）集聚壮大优质人才力量</w:t>
      </w:r>
      <w:r>
        <w:rPr>
          <w:rFonts w:hint="eastAsia" w:ascii="仿宋_GB2312" w:hAnsi="仿宋_GB2312" w:eastAsia="仿宋_GB2312" w:cs="仿宋_GB2312"/>
          <w:color w:val="auto"/>
          <w:spacing w:val="0"/>
          <w:sz w:val="32"/>
          <w:szCs w:val="32"/>
          <w:highlight w:val="none"/>
          <w:lang w:val="en-US" w:eastAsia="zh-CN"/>
        </w:rPr>
        <w:t>。</w:t>
      </w:r>
      <w:r>
        <w:rPr>
          <w:rFonts w:hint="eastAsia"/>
          <w:color w:val="auto"/>
          <w:highlight w:val="none"/>
          <w:lang w:val="en-US" w:eastAsia="zh-CN"/>
        </w:rPr>
        <w:t>深入落实人才强区战略，塑强“人才济济 向阳而行”人才工作品牌。持续完善引才育才用才机制，迭代升级“闻韶人才”政策包，持续开展“才聚济阳”招才引智系列活动。围绕重点产业链人才需求，聚焦高新技术产业和战略性新兴产业，引进培育一批掌握关键核心技术的高端创新创业人才和团队，力争2030年全区人才总量达到7万人。强化高技能人才培育，实施“政府＋职业院校＋企业”联合培养方式，建设高水平技能人才实训基地。发挥商协会、研究机构、科研院所、高校等作用，加强新型智库建设。实施企业家素质提升工程，着力培养优秀新生代企业家队伍。</w:t>
      </w:r>
    </w:p>
    <w:p w14:paraId="01429A1E">
      <w:pPr>
        <w:keepNext w:val="0"/>
        <w:keepLines w:val="0"/>
        <w:pageBreakBefore w:val="0"/>
        <w:widowControl w:val="0"/>
        <w:shd w:val="clea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（二）优化人才创新创业环境。</w:t>
      </w:r>
      <w:r>
        <w:rPr>
          <w:rFonts w:hint="eastAsia"/>
          <w:color w:val="auto"/>
          <w:highlight w:val="none"/>
          <w:lang w:val="en-US" w:eastAsia="zh-CN"/>
        </w:rPr>
        <w:t>健全人才首席服务官和人才服务专员队伍，聚焦人才成长发展“全生命周期”，明确子女入学、医疗健康、交通出行等各类服务的受理内容、办理流程和标准时限，升级区内人才一站式服务体系，打通人才服务“最后一公里”。加快推动青年发展型城区建设，持续完善多主体供给、多渠道筹措的高标准人才住房保障体系，优化青年人才“吃住行游娱购婚育”全场景支持措施，推动青年人才总量稳步增长。引导创业孵化基地资源共享、优势互补，提升创业孵化载体质量，释放创业带动就业倍增效应。</w:t>
      </w:r>
    </w:p>
    <w:p w14:paraId="0FAB98CA">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sz w:val="32"/>
          <w:szCs w:val="22"/>
          <w:highlight w:val="none"/>
          <w:lang w:val="en-US" w:eastAsia="zh-CN"/>
        </w:rPr>
      </w:pPr>
      <w:bookmarkStart w:id="146" w:name="_Toc11581"/>
      <w:bookmarkStart w:id="147" w:name="_Toc14397"/>
      <w:r>
        <w:rPr>
          <w:rFonts w:hint="eastAsia" w:ascii="黑体" w:hAnsi="黑体" w:eastAsia="黑体" w:cs="黑体"/>
          <w:color w:val="auto"/>
          <w:sz w:val="32"/>
          <w:szCs w:val="22"/>
          <w:highlight w:val="none"/>
          <w:lang w:val="en-US" w:eastAsia="zh-CN"/>
        </w:rPr>
        <w:t>四、营造一流创新发展生态</w:t>
      </w:r>
      <w:bookmarkEnd w:id="141"/>
      <w:bookmarkEnd w:id="142"/>
      <w:bookmarkEnd w:id="143"/>
      <w:bookmarkEnd w:id="144"/>
      <w:bookmarkEnd w:id="145"/>
      <w:bookmarkEnd w:id="146"/>
      <w:bookmarkEnd w:id="147"/>
    </w:p>
    <w:p w14:paraId="52B87D3B">
      <w:pPr>
        <w:shd w:val="clear"/>
        <w:bidi w:val="0"/>
        <w:rPr>
          <w:rFonts w:hint="eastAsia"/>
          <w:color w:val="auto"/>
          <w:highlight w:val="none"/>
          <w:lang w:val="en-US" w:eastAsia="zh-CN"/>
        </w:rPr>
      </w:pPr>
      <w:r>
        <w:rPr>
          <w:rFonts w:hint="eastAsia"/>
          <w:color w:val="auto"/>
          <w:highlight w:val="none"/>
          <w:lang w:val="en-US" w:eastAsia="zh-CN"/>
        </w:rPr>
        <w:t>聚焦“强产业、育主体、搭平台、促转化、聚要素、优环境”精准发力，加大创新创业服务支持，强化财政金融赋能，充分释放全社会创新活力和创造潜能，增强发展内生动力。</w:t>
      </w:r>
    </w:p>
    <w:p w14:paraId="5BD3701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auto"/>
          <w:spacing w:val="0"/>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（一）强化科技创新制度保障。</w:t>
      </w:r>
      <w:r>
        <w:rPr>
          <w:rFonts w:hint="eastAsia" w:cs="仿宋_GB2312"/>
          <w:color w:val="auto"/>
          <w:spacing w:val="0"/>
          <w:sz w:val="32"/>
          <w:szCs w:val="32"/>
          <w:highlight w:val="none"/>
          <w:lang w:val="en-US" w:eastAsia="zh-CN"/>
        </w:rPr>
        <w:t>优化创新</w:t>
      </w:r>
      <w:r>
        <w:rPr>
          <w:rFonts w:hint="eastAsia" w:ascii="仿宋_GB2312" w:hAnsi="仿宋_GB2312" w:eastAsia="仿宋_GB2312" w:cs="仿宋_GB2312"/>
          <w:color w:val="auto"/>
          <w:spacing w:val="0"/>
          <w:sz w:val="32"/>
          <w:szCs w:val="32"/>
          <w:highlight w:val="none"/>
          <w:lang w:val="en-US" w:eastAsia="zh-CN"/>
        </w:rPr>
        <w:t>项目组织管理方式</w:t>
      </w:r>
      <w:r>
        <w:rPr>
          <w:rFonts w:hint="eastAsia" w:cs="仿宋_GB2312"/>
          <w:color w:val="auto"/>
          <w:spacing w:val="0"/>
          <w:sz w:val="32"/>
          <w:szCs w:val="32"/>
          <w:highlight w:val="none"/>
          <w:lang w:val="en-US" w:eastAsia="zh-CN"/>
        </w:rPr>
        <w:t>，</w:t>
      </w:r>
      <w:r>
        <w:rPr>
          <w:rFonts w:hint="eastAsia" w:ascii="仿宋_GB2312" w:hAnsi="仿宋_GB2312" w:eastAsia="仿宋_GB2312" w:cs="仿宋_GB2312"/>
          <w:color w:val="auto"/>
          <w:spacing w:val="0"/>
          <w:sz w:val="32"/>
          <w:szCs w:val="32"/>
          <w:highlight w:val="none"/>
          <w:lang w:val="en-US" w:eastAsia="zh-CN"/>
        </w:rPr>
        <w:t>健全产学研合作利益共享机制，落实以增加知识价值为导向的分配政策，探索成果收益按比例分配等科研成果转化收益分配机制，推动科研人员</w:t>
      </w:r>
      <w:r>
        <w:rPr>
          <w:rFonts w:hint="eastAsia" w:cs="仿宋_GB2312"/>
          <w:color w:val="auto"/>
          <w:spacing w:val="0"/>
          <w:sz w:val="32"/>
          <w:szCs w:val="32"/>
          <w:highlight w:val="none"/>
          <w:lang w:val="en-US" w:eastAsia="zh-CN"/>
        </w:rPr>
        <w:t>和</w:t>
      </w:r>
      <w:r>
        <w:rPr>
          <w:rFonts w:hint="eastAsia" w:ascii="仿宋_GB2312" w:hAnsi="仿宋_GB2312" w:eastAsia="仿宋_GB2312" w:cs="仿宋_GB2312"/>
          <w:color w:val="auto"/>
          <w:spacing w:val="0"/>
          <w:sz w:val="32"/>
          <w:szCs w:val="32"/>
          <w:highlight w:val="none"/>
          <w:lang w:val="en-US" w:eastAsia="zh-CN"/>
        </w:rPr>
        <w:t>所在单位合理共享科技成果转化收益。推动建立研发准备金制度，增强企业研发资金保障能力。</w:t>
      </w:r>
    </w:p>
    <w:p w14:paraId="394DBDC3">
      <w:pPr>
        <w:keepNext w:val="0"/>
        <w:keepLines w:val="0"/>
        <w:pageBreakBefore w:val="0"/>
        <w:widowControl w:val="0"/>
        <w:shd w:val="clear"/>
        <w:kinsoku/>
        <w:wordWrap/>
        <w:overflowPunct w:val="0"/>
        <w:topLinePunct w:val="0"/>
        <w:autoSpaceDE/>
        <w:autoSpaceDN/>
        <w:bidi w:val="0"/>
        <w:adjustRightInd/>
        <w:snapToGrid/>
        <w:spacing w:afterAutospacing="0" w:line="600" w:lineRule="exact"/>
        <w:ind w:left="0" w:leftChars="0"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（二）强化创新创业金融支撑。</w:t>
      </w:r>
      <w:r>
        <w:rPr>
          <w:rFonts w:hint="eastAsia" w:ascii="仿宋_GB2312" w:hAnsi="仿宋_GB2312" w:eastAsia="仿宋_GB2312" w:cs="仿宋_GB2312"/>
          <w:b w:val="0"/>
          <w:bCs w:val="0"/>
          <w:color w:val="auto"/>
          <w:spacing w:val="0"/>
          <w:sz w:val="32"/>
          <w:szCs w:val="32"/>
          <w:highlight w:val="none"/>
          <w:lang w:val="en-US" w:eastAsia="zh-CN"/>
        </w:rPr>
        <w:t>强化金融“产业血液”作用，加快构建活跃的创投体系、金融风险分担体系，引导社会资本参与创新</w:t>
      </w:r>
      <w:r>
        <w:rPr>
          <w:rFonts w:hint="eastAsia" w:cs="仿宋_GB2312"/>
          <w:b w:val="0"/>
          <w:bCs w:val="0"/>
          <w:color w:val="auto"/>
          <w:spacing w:val="0"/>
          <w:sz w:val="32"/>
          <w:szCs w:val="32"/>
          <w:highlight w:val="none"/>
          <w:lang w:val="en-US" w:eastAsia="zh-CN"/>
        </w:rPr>
        <w:t>创业</w:t>
      </w:r>
      <w:r>
        <w:rPr>
          <w:rFonts w:hint="eastAsia" w:ascii="仿宋_GB2312" w:hAnsi="仿宋_GB2312" w:eastAsia="仿宋_GB2312" w:cs="仿宋_GB2312"/>
          <w:b w:val="0"/>
          <w:bCs w:val="0"/>
          <w:color w:val="auto"/>
          <w:spacing w:val="0"/>
          <w:sz w:val="32"/>
          <w:szCs w:val="32"/>
          <w:highlight w:val="none"/>
          <w:lang w:val="en-US" w:eastAsia="zh-CN"/>
        </w:rPr>
        <w:t>。</w:t>
      </w:r>
      <w:r>
        <w:rPr>
          <w:rFonts w:hint="eastAsia" w:ascii="仿宋_GB2312" w:hAnsi="仿宋_GB2312" w:eastAsia="仿宋_GB2312" w:cs="仿宋_GB2312"/>
          <w:color w:val="auto"/>
          <w:spacing w:val="0"/>
          <w:sz w:val="32"/>
          <w:szCs w:val="32"/>
          <w:highlight w:val="none"/>
          <w:lang w:val="en-US" w:eastAsia="zh-CN"/>
        </w:rPr>
        <w:t>完善</w:t>
      </w:r>
      <w:r>
        <w:rPr>
          <w:rFonts w:hint="eastAsia" w:cs="仿宋_GB2312"/>
          <w:color w:val="auto"/>
          <w:spacing w:val="0"/>
          <w:sz w:val="32"/>
          <w:szCs w:val="32"/>
          <w:highlight w:val="none"/>
          <w:lang w:val="en-US" w:eastAsia="zh-CN"/>
        </w:rPr>
        <w:t>创新创业</w:t>
      </w:r>
      <w:r>
        <w:rPr>
          <w:rFonts w:hint="eastAsia" w:ascii="仿宋_GB2312" w:hAnsi="仿宋_GB2312" w:eastAsia="仿宋_GB2312" w:cs="仿宋_GB2312"/>
          <w:color w:val="auto"/>
          <w:spacing w:val="0"/>
          <w:sz w:val="32"/>
          <w:szCs w:val="32"/>
          <w:highlight w:val="none"/>
          <w:lang w:val="en-US" w:eastAsia="zh-CN"/>
        </w:rPr>
        <w:t>全生命周期金融产品和服务体系，鼓励银行机构围绕企业不同发展阶段融资需求，丰富金融信贷产品，优化融资担保服务，更好满足创新创业主体的多样化融资需求。创新开展“金融直达基层加速跑”行动，引导银行机构创新民营小微企业的信贷产品，提升小微企业首贷、信用贷款占比，不断提高政银企对接效率。</w:t>
      </w:r>
    </w:p>
    <w:p w14:paraId="2BDB3F4A">
      <w:pPr>
        <w:keepNext w:val="0"/>
        <w:keepLines w:val="0"/>
        <w:pageBreakBefore w:val="0"/>
        <w:widowControl w:val="0"/>
        <w:shd w:val="clear"/>
        <w:kinsoku/>
        <w:wordWrap/>
        <w:overflowPunct w:val="0"/>
        <w:topLinePunct w:val="0"/>
        <w:autoSpaceDE/>
        <w:autoSpaceDN/>
        <w:bidi w:val="0"/>
        <w:adjustRightInd/>
        <w:snapToGrid/>
        <w:spacing w:line="600" w:lineRule="exact"/>
        <w:ind w:firstLine="640" w:firstLineChars="200"/>
        <w:jc w:val="both"/>
        <w:textAlignment w:val="auto"/>
        <w:outlineLvl w:val="9"/>
        <w:rPr>
          <w:rFonts w:hint="default" w:ascii="仿宋_GB2312" w:hAnsi="仿宋_GB2312" w:eastAsia="仿宋_GB2312" w:cs="仿宋_GB2312"/>
          <w:color w:val="auto"/>
          <w:spacing w:val="0"/>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（三）营造鼓励包容的创新创业文化。</w:t>
      </w:r>
      <w:r>
        <w:rPr>
          <w:rFonts w:hint="eastAsia" w:ascii="仿宋_GB2312" w:hAnsi="仿宋_GB2312" w:eastAsia="仿宋_GB2312" w:cs="仿宋_GB2312"/>
          <w:color w:val="auto"/>
          <w:spacing w:val="0"/>
          <w:sz w:val="32"/>
          <w:szCs w:val="32"/>
          <w:highlight w:val="none"/>
          <w:lang w:val="en-US" w:eastAsia="zh-CN"/>
        </w:rPr>
        <w:t>强化宣传引领</w:t>
      </w:r>
      <w:r>
        <w:rPr>
          <w:rFonts w:hint="default" w:ascii="仿宋_GB2312" w:hAnsi="仿宋_GB2312" w:eastAsia="仿宋_GB2312" w:cs="仿宋_GB2312"/>
          <w:color w:val="auto"/>
          <w:spacing w:val="0"/>
          <w:sz w:val="32"/>
          <w:szCs w:val="32"/>
          <w:highlight w:val="none"/>
          <w:lang w:val="en-US" w:eastAsia="zh-CN"/>
        </w:rPr>
        <w:t>，打造“创新故事会”等特色品牌活动，挖掘本土企业家敢闯敢试案例</w:t>
      </w:r>
      <w:r>
        <w:rPr>
          <w:rFonts w:hint="eastAsia" w:cs="仿宋_GB2312"/>
          <w:color w:val="auto"/>
          <w:spacing w:val="0"/>
          <w:sz w:val="32"/>
          <w:szCs w:val="32"/>
          <w:highlight w:val="none"/>
          <w:lang w:val="en-US" w:eastAsia="zh-CN"/>
        </w:rPr>
        <w:t>，</w:t>
      </w:r>
      <w:r>
        <w:rPr>
          <w:rFonts w:hint="default" w:ascii="仿宋_GB2312" w:hAnsi="仿宋_GB2312" w:eastAsia="仿宋_GB2312" w:cs="仿宋_GB2312"/>
          <w:color w:val="auto"/>
          <w:spacing w:val="0"/>
          <w:sz w:val="32"/>
          <w:szCs w:val="32"/>
          <w:highlight w:val="none"/>
          <w:lang w:val="en-US" w:eastAsia="zh-CN"/>
        </w:rPr>
        <w:t>破除“求稳怕错”思想</w:t>
      </w:r>
      <w:r>
        <w:rPr>
          <w:rFonts w:hint="eastAsia" w:ascii="仿宋_GB2312" w:hAnsi="仿宋_GB2312" w:eastAsia="仿宋_GB2312" w:cs="仿宋_GB2312"/>
          <w:color w:val="auto"/>
          <w:spacing w:val="0"/>
          <w:sz w:val="32"/>
          <w:szCs w:val="32"/>
          <w:highlight w:val="none"/>
          <w:lang w:val="en-US" w:eastAsia="zh-CN"/>
        </w:rPr>
        <w:t>。倡树“为创新者担当，为破局者护航”理念，</w:t>
      </w:r>
      <w:r>
        <w:rPr>
          <w:rFonts w:hint="default" w:ascii="仿宋_GB2312" w:hAnsi="仿宋_GB2312" w:eastAsia="仿宋_GB2312" w:cs="仿宋_GB2312"/>
          <w:color w:val="auto"/>
          <w:spacing w:val="0"/>
          <w:sz w:val="32"/>
          <w:szCs w:val="32"/>
          <w:highlight w:val="none"/>
          <w:lang w:val="en-US" w:eastAsia="zh-CN"/>
        </w:rPr>
        <w:t>设立创新容错试验场，对入驻项目给予试错成本补贴，联合高校院所建设“创客开放实验室”，降低中小微企业技术研发门槛</w:t>
      </w:r>
      <w:r>
        <w:rPr>
          <w:rFonts w:hint="eastAsia" w:cs="仿宋_GB2312"/>
          <w:color w:val="auto"/>
          <w:spacing w:val="0"/>
          <w:sz w:val="32"/>
          <w:szCs w:val="32"/>
          <w:highlight w:val="none"/>
          <w:lang w:val="en-US" w:eastAsia="zh-CN"/>
        </w:rPr>
        <w:t>，</w:t>
      </w:r>
      <w:r>
        <w:rPr>
          <w:rFonts w:hint="default" w:ascii="仿宋_GB2312" w:hAnsi="仿宋_GB2312" w:eastAsia="仿宋_GB2312" w:cs="仿宋_GB2312"/>
          <w:color w:val="auto"/>
          <w:spacing w:val="0"/>
          <w:sz w:val="32"/>
          <w:szCs w:val="32"/>
          <w:highlight w:val="none"/>
          <w:lang w:val="en-US" w:eastAsia="zh-CN"/>
        </w:rPr>
        <w:t>推动形成“干部敢为、企业敢干、群众敢首创”的浓厚氛围。</w:t>
      </w:r>
      <w:bookmarkEnd w:id="114"/>
      <w:bookmarkEnd w:id="115"/>
      <w:bookmarkEnd w:id="116"/>
      <w:bookmarkEnd w:id="117"/>
      <w:bookmarkEnd w:id="118"/>
      <w:bookmarkEnd w:id="119"/>
      <w:bookmarkEnd w:id="120"/>
      <w:bookmarkEnd w:id="121"/>
      <w:bookmarkEnd w:id="129"/>
      <w:r>
        <w:rPr>
          <w:rFonts w:hint="default" w:ascii="仿宋_GB2312" w:hAnsi="仿宋_GB2312" w:eastAsia="仿宋_GB2312" w:cs="仿宋_GB2312"/>
          <w:color w:val="auto"/>
          <w:spacing w:val="0"/>
          <w:sz w:val="32"/>
          <w:szCs w:val="32"/>
          <w:highlight w:val="none"/>
          <w:lang w:val="en-US" w:eastAsia="zh-CN"/>
        </w:rPr>
        <w:t>围绕济阳区工业与服务业等全行业发展需求，推动创新创业与产业升级深度融合，激发各类市场主体活力，促进新技术、新业态</w:t>
      </w:r>
      <w:r>
        <w:rPr>
          <w:rFonts w:hint="eastAsia" w:cs="仿宋_GB2312"/>
          <w:color w:val="auto"/>
          <w:spacing w:val="0"/>
          <w:sz w:val="32"/>
          <w:szCs w:val="32"/>
          <w:highlight w:val="none"/>
          <w:lang w:val="en-US" w:eastAsia="zh-CN"/>
        </w:rPr>
        <w:t>在全区</w:t>
      </w:r>
      <w:r>
        <w:rPr>
          <w:rFonts w:hint="default" w:ascii="仿宋_GB2312" w:hAnsi="仿宋_GB2312" w:eastAsia="仿宋_GB2312" w:cs="仿宋_GB2312"/>
          <w:color w:val="auto"/>
          <w:spacing w:val="0"/>
          <w:sz w:val="32"/>
          <w:szCs w:val="32"/>
          <w:highlight w:val="none"/>
          <w:lang w:val="en-US" w:eastAsia="zh-CN"/>
        </w:rPr>
        <w:t>落地转化。</w:t>
      </w:r>
    </w:p>
    <w:p w14:paraId="01C3583B">
      <w:pPr>
        <w:rPr>
          <w:rFonts w:hint="default" w:ascii="仿宋_GB2312" w:hAnsi="仿宋_GB2312" w:eastAsia="仿宋_GB2312" w:cs="仿宋_GB2312"/>
          <w:color w:val="auto"/>
          <w:spacing w:val="0"/>
          <w:sz w:val="32"/>
          <w:szCs w:val="32"/>
          <w:highlight w:val="none"/>
          <w:lang w:val="en-US" w:eastAsia="zh-CN"/>
        </w:rPr>
      </w:pPr>
      <w:r>
        <w:rPr>
          <w:rFonts w:hint="default" w:ascii="仿宋_GB2312" w:hAnsi="仿宋_GB2312" w:eastAsia="仿宋_GB2312" w:cs="仿宋_GB2312"/>
          <w:color w:val="auto"/>
          <w:spacing w:val="0"/>
          <w:sz w:val="32"/>
          <w:szCs w:val="32"/>
          <w:highlight w:val="none"/>
          <w:lang w:val="en-US" w:eastAsia="zh-CN"/>
        </w:rPr>
        <w:br w:type="page"/>
      </w:r>
    </w:p>
    <w:p w14:paraId="0BDA87C6">
      <w:pPr>
        <w:keepNext w:val="0"/>
        <w:keepLines w:val="0"/>
        <w:pageBreakBefore w:val="0"/>
        <w:widowControl w:val="0"/>
        <w:shd w:val="clear"/>
        <w:kinsoku/>
        <w:wordWrap/>
        <w:overflowPunct w:val="0"/>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auto"/>
          <w:spacing w:val="0"/>
          <w:sz w:val="32"/>
          <w:szCs w:val="32"/>
          <w:highlight w:val="none"/>
          <w:lang w:val="en-US" w:eastAsia="zh-CN"/>
        </w:rPr>
      </w:pPr>
    </w:p>
    <w:bookmarkEnd w:id="106"/>
    <w:bookmarkEnd w:id="107"/>
    <w:bookmarkEnd w:id="108"/>
    <w:bookmarkEnd w:id="109"/>
    <w:bookmarkEnd w:id="110"/>
    <w:p w14:paraId="56F8C8B8">
      <w:pPr>
        <w:keepNext w:val="0"/>
        <w:keepLines w:val="0"/>
        <w:pageBreakBefore w:val="0"/>
        <w:widowControl w:val="0"/>
        <w:suppressLineNumbers w:val="0"/>
        <w:shd w:val="clear"/>
        <w:kinsoku/>
        <w:wordWrap/>
        <w:overflowPunct w:val="0"/>
        <w:topLinePunct w:val="0"/>
        <w:autoSpaceDE/>
        <w:autoSpaceDN/>
        <w:bidi w:val="0"/>
        <w:adjustRightInd/>
        <w:snapToGrid/>
        <w:spacing w:before="157" w:beforeLines="50" w:after="157" w:afterLines="50" w:afterAutospacing="0" w:line="600" w:lineRule="exact"/>
        <w:ind w:left="0" w:leftChars="0" w:firstLine="0" w:firstLineChars="0"/>
        <w:jc w:val="center"/>
        <w:textAlignment w:val="auto"/>
        <w:outlineLvl w:val="0"/>
        <w:rPr>
          <w:rFonts w:hint="eastAsia" w:ascii="方正小标宋简体" w:hAnsi="方正小标宋简体" w:eastAsia="方正小标宋简体" w:cs="方正小标宋简体"/>
          <w:color w:val="auto"/>
          <w:spacing w:val="-17"/>
          <w:kern w:val="0"/>
          <w:sz w:val="32"/>
          <w:szCs w:val="32"/>
          <w:highlight w:val="none"/>
          <w:lang w:val="en-US" w:eastAsia="zh-CN" w:bidi="ar"/>
        </w:rPr>
      </w:pPr>
      <w:bookmarkStart w:id="148" w:name="_Toc11784"/>
      <w:bookmarkStart w:id="149" w:name="_Toc23698"/>
      <w:bookmarkStart w:id="150" w:name="_Toc3989"/>
      <w:bookmarkStart w:id="151" w:name="_Toc21706"/>
      <w:bookmarkStart w:id="152" w:name="_Toc27024"/>
      <w:bookmarkStart w:id="153" w:name="_Toc19140"/>
      <w:bookmarkStart w:id="154" w:name="_Toc23127"/>
      <w:r>
        <w:rPr>
          <w:rFonts w:hint="eastAsia" w:ascii="方正小标宋简体" w:hAnsi="方正小标宋简体" w:eastAsia="方正小标宋简体" w:cs="方正小标宋简体"/>
          <w:color w:val="auto"/>
          <w:spacing w:val="-17"/>
          <w:kern w:val="0"/>
          <w:sz w:val="32"/>
          <w:szCs w:val="32"/>
          <w:highlight w:val="none"/>
          <w:lang w:val="en-US" w:eastAsia="zh-CN" w:bidi="ar"/>
        </w:rPr>
        <w:t>第四章  统筹新型城镇化和乡村振兴，建设城乡融合发展样板区</w:t>
      </w:r>
      <w:bookmarkEnd w:id="148"/>
      <w:bookmarkEnd w:id="149"/>
    </w:p>
    <w:p w14:paraId="383BC927">
      <w:pPr>
        <w:bidi w:val="0"/>
        <w:rPr>
          <w:rFonts w:hint="eastAsia"/>
          <w:highlight w:val="none"/>
          <w:lang w:val="en-US" w:eastAsia="zh-CN"/>
        </w:rPr>
      </w:pPr>
      <w:bookmarkStart w:id="155" w:name="_Toc3037"/>
      <w:bookmarkStart w:id="156" w:name="_Toc27694"/>
      <w:bookmarkStart w:id="157" w:name="_Toc24270"/>
      <w:bookmarkStart w:id="158" w:name="_Toc16425"/>
      <w:bookmarkStart w:id="159" w:name="_Toc27304"/>
      <w:bookmarkStart w:id="160" w:name="_Toc22037"/>
      <w:bookmarkStart w:id="161" w:name="_Toc5593"/>
      <w:bookmarkStart w:id="162" w:name="_Toc7366"/>
      <w:bookmarkStart w:id="163" w:name="_Toc26076"/>
      <w:bookmarkStart w:id="164" w:name="_Toc25102"/>
      <w:bookmarkStart w:id="165" w:name="_Toc27341"/>
      <w:bookmarkStart w:id="166" w:name="_Toc24242"/>
      <w:r>
        <w:rPr>
          <w:rFonts w:hint="eastAsia"/>
          <w:highlight w:val="none"/>
          <w:lang w:val="en-US" w:eastAsia="zh-CN"/>
        </w:rPr>
        <w:t>坚持城市内涵式发展，以新型城镇化为引领、现代高效农业为支撑、和美乡村建设为基、要素双向流动为要，全面推进城乡功能互补、产业协同、服务均等，促进全区城乡发展能级全面跃升。</w:t>
      </w:r>
    </w:p>
    <w:bookmarkEnd w:id="155"/>
    <w:bookmarkEnd w:id="156"/>
    <w:bookmarkEnd w:id="157"/>
    <w:bookmarkEnd w:id="158"/>
    <w:bookmarkEnd w:id="159"/>
    <w:bookmarkEnd w:id="160"/>
    <w:bookmarkEnd w:id="161"/>
    <w:bookmarkEnd w:id="162"/>
    <w:bookmarkEnd w:id="163"/>
    <w:bookmarkEnd w:id="164"/>
    <w:bookmarkEnd w:id="165"/>
    <w:bookmarkEnd w:id="166"/>
    <w:p w14:paraId="6D7B8BDD">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167" w:name="_Toc15077"/>
      <w:bookmarkStart w:id="168" w:name="_Toc16879"/>
      <w:r>
        <w:rPr>
          <w:rFonts w:hint="eastAsia" w:ascii="黑体" w:hAnsi="黑体" w:eastAsia="黑体" w:cs="黑体"/>
          <w:color w:val="auto"/>
          <w:highlight w:val="none"/>
          <w:lang w:val="en-US" w:eastAsia="zh-CN"/>
        </w:rPr>
        <w:t>一、提升中心城区功能品质</w:t>
      </w:r>
      <w:bookmarkEnd w:id="167"/>
      <w:bookmarkEnd w:id="168"/>
    </w:p>
    <w:p w14:paraId="2706E1ED">
      <w:pPr>
        <w:keepNext w:val="0"/>
        <w:keepLines w:val="0"/>
        <w:pageBreakBefore w:val="0"/>
        <w:widowControl w:val="0"/>
        <w:shd w:val="clear"/>
        <w:kinsoku/>
        <w:wordWrap/>
        <w:overflowPunct w:val="0"/>
        <w:topLinePunct w:val="0"/>
        <w:autoSpaceDE/>
        <w:autoSpaceDN/>
        <w:bidi w:val="0"/>
        <w:adjustRightInd w:val="0"/>
        <w:snapToGrid w:val="0"/>
        <w:spacing w:line="600" w:lineRule="exact"/>
        <w:ind w:firstLine="640" w:firstLineChars="200"/>
        <w:jc w:val="both"/>
        <w:textAlignment w:val="auto"/>
        <w:outlineLvl w:val="9"/>
        <w:rPr>
          <w:rFonts w:hint="eastAsia"/>
          <w:color w:val="auto"/>
          <w:highlight w:val="none"/>
          <w:lang w:val="en-US" w:eastAsia="zh-CN"/>
        </w:rPr>
      </w:pPr>
      <w:r>
        <w:rPr>
          <w:rFonts w:hint="eastAsia"/>
          <w:color w:val="auto"/>
          <w:highlight w:val="none"/>
          <w:lang w:val="en-US" w:eastAsia="zh-CN"/>
        </w:rPr>
        <w:t>坚持城市规划、城市建设与城市管理并重，合理组织城市功能、人口分布、产业布局、城镇化分区等空间形态，扎实开展城市管理工作，全力打造现代化精致城区。</w:t>
      </w:r>
    </w:p>
    <w:p w14:paraId="7E4FFC31">
      <w:pPr>
        <w:pStyle w:val="6"/>
        <w:keepNext w:val="0"/>
        <w:keepLines w:val="0"/>
        <w:pageBreakBefore w:val="0"/>
        <w:widowControl w:val="0"/>
        <w:shd w:val="clear"/>
        <w:kinsoku/>
        <w:wordWrap/>
        <w:overflowPunct w:val="0"/>
        <w:topLinePunct w:val="0"/>
        <w:autoSpaceDE/>
        <w:autoSpaceDN/>
        <w:bidi w:val="0"/>
        <w:adjustRightInd w:val="0"/>
        <w:snapToGrid w:val="0"/>
        <w:spacing w:after="0" w:afterLines="0"/>
        <w:jc w:val="both"/>
        <w:textAlignment w:val="auto"/>
        <w:rPr>
          <w:rFonts w:hint="eastAsia" w:ascii="仿宋_GB2312" w:hAnsi="仿宋_GB2312" w:cs="仿宋_GB2312"/>
          <w:color w:val="auto"/>
          <w:kern w:val="0"/>
          <w:sz w:val="32"/>
          <w:szCs w:val="32"/>
          <w:highlight w:val="none"/>
          <w:lang w:eastAsia="zh-CN"/>
        </w:rPr>
      </w:pPr>
      <w:r>
        <w:rPr>
          <w:rFonts w:hint="eastAsia" w:ascii="楷体_GB2312" w:hAnsi="楷体_GB2312" w:eastAsia="楷体_GB2312" w:cs="楷体_GB2312"/>
          <w:b w:val="0"/>
          <w:bCs/>
          <w:color w:val="auto"/>
          <w:sz w:val="32"/>
          <w:szCs w:val="32"/>
          <w:highlight w:val="none"/>
          <w:lang w:eastAsia="zh-CN"/>
        </w:rPr>
        <w:t>（</w:t>
      </w:r>
      <w:r>
        <w:rPr>
          <w:rFonts w:hint="eastAsia" w:ascii="楷体_GB2312" w:hAnsi="楷体_GB2312" w:eastAsia="楷体_GB2312" w:cs="楷体_GB2312"/>
          <w:b w:val="0"/>
          <w:bCs/>
          <w:color w:val="auto"/>
          <w:sz w:val="32"/>
          <w:szCs w:val="32"/>
          <w:highlight w:val="none"/>
          <w:lang w:val="en-US" w:eastAsia="zh-CN"/>
        </w:rPr>
        <w:t>一</w:t>
      </w:r>
      <w:r>
        <w:rPr>
          <w:rFonts w:hint="eastAsia" w:ascii="楷体_GB2312" w:hAnsi="楷体_GB2312" w:eastAsia="楷体_GB2312" w:cs="楷体_GB2312"/>
          <w:b w:val="0"/>
          <w:bCs/>
          <w:color w:val="auto"/>
          <w:sz w:val="32"/>
          <w:szCs w:val="32"/>
          <w:highlight w:val="none"/>
          <w:lang w:eastAsia="zh-CN"/>
        </w:rPr>
        <w:t>）</w:t>
      </w:r>
      <w:r>
        <w:rPr>
          <w:rFonts w:hint="eastAsia" w:ascii="楷体_GB2312" w:hAnsi="楷体_GB2312" w:eastAsia="楷体_GB2312" w:cs="楷体_GB2312"/>
          <w:b w:val="0"/>
          <w:bCs/>
          <w:color w:val="auto"/>
          <w:sz w:val="32"/>
          <w:szCs w:val="32"/>
          <w:highlight w:val="none"/>
        </w:rPr>
        <w:t>优化中心城区空间格局。</w:t>
      </w:r>
      <w:r>
        <w:rPr>
          <w:rFonts w:ascii="Times New Roman" w:hAnsi="Times New Roman" w:eastAsia="仿宋_GB2312" w:cs="Times New Roman"/>
          <w:color w:val="auto"/>
          <w:kern w:val="0"/>
          <w:sz w:val="32"/>
          <w:szCs w:val="32"/>
          <w:highlight w:val="none"/>
        </w:rPr>
        <w:t>加</w:t>
      </w:r>
      <w:r>
        <w:rPr>
          <w:rFonts w:hint="eastAsia" w:ascii="仿宋_GB2312" w:hAnsi="仿宋_GB2312" w:eastAsia="仿宋_GB2312" w:cs="仿宋_GB2312"/>
          <w:color w:val="auto"/>
          <w:kern w:val="0"/>
          <w:sz w:val="32"/>
          <w:szCs w:val="32"/>
          <w:highlight w:val="none"/>
        </w:rPr>
        <w:t>速中心城区与周边</w:t>
      </w:r>
      <w:r>
        <w:rPr>
          <w:rFonts w:hint="eastAsia" w:cs="仿宋_GB2312"/>
          <w:color w:val="auto"/>
          <w:kern w:val="0"/>
          <w:sz w:val="32"/>
          <w:szCs w:val="32"/>
          <w:highlight w:val="none"/>
          <w:lang w:val="en-US" w:eastAsia="zh-CN"/>
        </w:rPr>
        <w:t>街道</w:t>
      </w:r>
      <w:r>
        <w:rPr>
          <w:rFonts w:hint="eastAsia" w:ascii="仿宋_GB2312" w:hAnsi="仿宋_GB2312" w:eastAsia="仿宋_GB2312" w:cs="仿宋_GB2312"/>
          <w:color w:val="auto"/>
          <w:kern w:val="0"/>
          <w:sz w:val="32"/>
          <w:szCs w:val="32"/>
          <w:highlight w:val="none"/>
        </w:rPr>
        <w:t>一体化发展，打造</w:t>
      </w:r>
      <w:r>
        <w:rPr>
          <w:rFonts w:hint="eastAsia" w:ascii="仿宋_GB2312" w:hAnsi="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三轴四心多区</w:t>
      </w:r>
      <w:r>
        <w:rPr>
          <w:rFonts w:hint="eastAsia" w:ascii="仿宋_GB2312" w:hAnsi="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空间结构</w:t>
      </w:r>
      <w:r>
        <w:rPr>
          <w:rFonts w:hint="eastAsia" w:ascii="仿宋_GB2312" w:hAnsi="仿宋_GB2312" w:cs="仿宋_GB2312"/>
          <w:color w:val="auto"/>
          <w:kern w:val="0"/>
          <w:sz w:val="32"/>
          <w:szCs w:val="32"/>
          <w:highlight w:val="none"/>
          <w:lang w:eastAsia="zh-CN"/>
        </w:rPr>
        <w:t>。</w:t>
      </w:r>
      <w:r>
        <w:rPr>
          <w:rFonts w:hint="eastAsia" w:ascii="仿宋_GB2312" w:hAnsi="仿宋_GB2312" w:cs="仿宋_GB2312"/>
          <w:b/>
          <w:bCs/>
          <w:color w:val="auto"/>
          <w:kern w:val="0"/>
          <w:sz w:val="32"/>
          <w:szCs w:val="32"/>
          <w:highlight w:val="none"/>
          <w:lang w:eastAsia="zh-CN"/>
        </w:rPr>
        <w:t>三轴</w:t>
      </w:r>
      <w:r>
        <w:rPr>
          <w:rFonts w:hint="eastAsia" w:ascii="仿宋_GB2312" w:hAnsi="仿宋_GB2312" w:cs="仿宋_GB2312"/>
          <w:color w:val="auto"/>
          <w:kern w:val="0"/>
          <w:sz w:val="32"/>
          <w:szCs w:val="32"/>
          <w:highlight w:val="none"/>
          <w:lang w:eastAsia="zh-CN"/>
        </w:rPr>
        <w:t>：沿正安路的南北向城市发展轴，是向南拓展城市功能的主要发展轴，是空间形态的结构性支撑，起到引领组织核心功能空间序列的作用；沿开元大街形成的东西向公共服务轴，将城市各功能片区的中心和主要城市公共职能串联，引导城市有序布局；沿</w:t>
      </w:r>
      <w:r>
        <w:rPr>
          <w:rFonts w:hint="eastAsia" w:cs="仿宋_GB2312"/>
          <w:color w:val="auto"/>
          <w:kern w:val="0"/>
          <w:sz w:val="32"/>
          <w:szCs w:val="32"/>
          <w:highlight w:val="none"/>
          <w:lang w:val="en-US" w:eastAsia="zh-CN"/>
        </w:rPr>
        <w:t>黄河大道科</w:t>
      </w:r>
      <w:r>
        <w:rPr>
          <w:rFonts w:hint="eastAsia" w:ascii="仿宋_GB2312" w:hAnsi="仿宋_GB2312" w:cs="仿宋_GB2312"/>
          <w:color w:val="auto"/>
          <w:kern w:val="0"/>
          <w:sz w:val="32"/>
          <w:szCs w:val="32"/>
          <w:highlight w:val="none"/>
          <w:lang w:eastAsia="zh-CN"/>
        </w:rPr>
        <w:t>技创新轴，连通济北、回河等街道的产业板块，并加强与</w:t>
      </w:r>
      <w:r>
        <w:rPr>
          <w:rFonts w:hint="eastAsia" w:cs="仿宋_GB2312"/>
          <w:color w:val="auto"/>
          <w:kern w:val="0"/>
          <w:sz w:val="32"/>
          <w:szCs w:val="32"/>
          <w:highlight w:val="none"/>
          <w:lang w:eastAsia="zh-CN"/>
        </w:rPr>
        <w:t>济南新旧动能转换起步区</w:t>
      </w:r>
      <w:r>
        <w:rPr>
          <w:rFonts w:hint="eastAsia" w:ascii="仿宋_GB2312" w:hAnsi="仿宋_GB2312" w:cs="仿宋_GB2312"/>
          <w:color w:val="auto"/>
          <w:kern w:val="0"/>
          <w:sz w:val="32"/>
          <w:szCs w:val="32"/>
          <w:highlight w:val="none"/>
          <w:lang w:eastAsia="zh-CN"/>
        </w:rPr>
        <w:t>崔寨</w:t>
      </w:r>
      <w:r>
        <w:rPr>
          <w:rFonts w:hint="eastAsia" w:cs="仿宋_GB2312"/>
          <w:color w:val="auto"/>
          <w:kern w:val="0"/>
          <w:sz w:val="32"/>
          <w:szCs w:val="32"/>
          <w:highlight w:val="none"/>
          <w:lang w:val="en-US" w:eastAsia="zh-CN"/>
        </w:rPr>
        <w:t>片</w:t>
      </w:r>
      <w:r>
        <w:rPr>
          <w:rFonts w:hint="eastAsia" w:ascii="仿宋_GB2312" w:hAnsi="仿宋_GB2312" w:cs="仿宋_GB2312"/>
          <w:color w:val="auto"/>
          <w:kern w:val="0"/>
          <w:sz w:val="32"/>
          <w:szCs w:val="32"/>
          <w:highlight w:val="none"/>
          <w:lang w:eastAsia="zh-CN"/>
        </w:rPr>
        <w:t>区的联系。</w:t>
      </w:r>
      <w:r>
        <w:rPr>
          <w:rFonts w:hint="eastAsia" w:ascii="仿宋_GB2312" w:hAnsi="仿宋_GB2312" w:cs="仿宋_GB2312"/>
          <w:b/>
          <w:bCs/>
          <w:color w:val="auto"/>
          <w:kern w:val="0"/>
          <w:sz w:val="32"/>
          <w:szCs w:val="32"/>
          <w:highlight w:val="none"/>
          <w:lang w:eastAsia="zh-CN"/>
        </w:rPr>
        <w:t>四心</w:t>
      </w:r>
      <w:r>
        <w:rPr>
          <w:rFonts w:hint="eastAsia" w:ascii="仿宋_GB2312" w:hAnsi="仿宋_GB2312" w:cs="仿宋_GB2312"/>
          <w:color w:val="auto"/>
          <w:kern w:val="0"/>
          <w:sz w:val="32"/>
          <w:szCs w:val="32"/>
          <w:highlight w:val="none"/>
          <w:lang w:eastAsia="zh-CN"/>
        </w:rPr>
        <w:t>：以区政府等为依托的政务综合服务中心；以澄波湖为载体的城市生态绿心；以老城区改造提升为契机形成的老城综合服务中心；以承载区域服务功能，重点培育科技金融、总部办公、商业休闲等服务功能的商业商务中心。</w:t>
      </w:r>
      <w:r>
        <w:rPr>
          <w:rFonts w:hint="eastAsia" w:ascii="仿宋_GB2312" w:hAnsi="仿宋_GB2312" w:cs="仿宋_GB2312"/>
          <w:b/>
          <w:bCs/>
          <w:color w:val="auto"/>
          <w:kern w:val="0"/>
          <w:sz w:val="32"/>
          <w:szCs w:val="32"/>
          <w:highlight w:val="none"/>
          <w:lang w:eastAsia="zh-CN"/>
        </w:rPr>
        <w:t>多区</w:t>
      </w:r>
      <w:r>
        <w:rPr>
          <w:rFonts w:hint="eastAsia" w:ascii="仿宋_GB2312" w:hAnsi="仿宋_GB2312" w:cs="仿宋_GB2312"/>
          <w:color w:val="auto"/>
          <w:kern w:val="0"/>
          <w:sz w:val="32"/>
          <w:szCs w:val="32"/>
          <w:highlight w:val="none"/>
          <w:lang w:eastAsia="zh-CN"/>
        </w:rPr>
        <w:t>：形成济北食品工业示范区、政务综合服务区、滨湖生态宜居区、老城品质提升区、济北智造产业发展区</w:t>
      </w:r>
      <w:r>
        <w:rPr>
          <w:rFonts w:hint="eastAsia" w:cs="仿宋_GB2312"/>
          <w:color w:val="auto"/>
          <w:kern w:val="0"/>
          <w:sz w:val="32"/>
          <w:szCs w:val="32"/>
          <w:highlight w:val="none"/>
          <w:lang w:eastAsia="zh-CN"/>
        </w:rPr>
        <w:t>、</w:t>
      </w:r>
      <w:r>
        <w:rPr>
          <w:rFonts w:hint="eastAsia" w:ascii="仿宋_GB2312" w:hAnsi="仿宋_GB2312" w:cs="仿宋_GB2312"/>
          <w:color w:val="auto"/>
          <w:kern w:val="0"/>
          <w:sz w:val="32"/>
          <w:szCs w:val="32"/>
          <w:highlight w:val="none"/>
          <w:lang w:eastAsia="zh-CN"/>
        </w:rPr>
        <w:t>回河产城融合发展区、滨河</w:t>
      </w:r>
      <w:r>
        <w:rPr>
          <w:rFonts w:hint="eastAsia" w:cs="仿宋_GB2312"/>
          <w:color w:val="auto"/>
          <w:kern w:val="0"/>
          <w:sz w:val="32"/>
          <w:szCs w:val="32"/>
          <w:highlight w:val="none"/>
          <w:lang w:val="en-US" w:eastAsia="zh-CN"/>
        </w:rPr>
        <w:t>片区</w:t>
      </w:r>
      <w:r>
        <w:rPr>
          <w:rFonts w:hint="eastAsia" w:ascii="仿宋_GB2312" w:hAnsi="仿宋_GB2312" w:cs="仿宋_GB2312"/>
          <w:color w:val="auto"/>
          <w:kern w:val="0"/>
          <w:sz w:val="32"/>
          <w:szCs w:val="32"/>
          <w:highlight w:val="none"/>
          <w:lang w:eastAsia="zh-CN"/>
        </w:rPr>
        <w:t>、起步区紧密协作区</w:t>
      </w:r>
      <w:r>
        <w:rPr>
          <w:rFonts w:hint="eastAsia" w:cs="仿宋_GB2312"/>
          <w:color w:val="auto"/>
          <w:kern w:val="0"/>
          <w:sz w:val="32"/>
          <w:szCs w:val="32"/>
          <w:highlight w:val="none"/>
          <w:lang w:eastAsia="zh-CN"/>
        </w:rPr>
        <w:t>、济滨高铁济阳站片区、</w:t>
      </w:r>
      <w:r>
        <w:rPr>
          <w:rFonts w:hint="eastAsia" w:ascii="仿宋_GB2312" w:hAnsi="仿宋_GB2312" w:cs="仿宋_GB2312"/>
          <w:color w:val="auto"/>
          <w:kern w:val="0"/>
          <w:sz w:val="32"/>
          <w:szCs w:val="32"/>
          <w:highlight w:val="none"/>
          <w:lang w:eastAsia="zh-CN"/>
        </w:rPr>
        <w:t>物流仓储区、济阳街道工业区等多个功能片区。</w:t>
      </w:r>
    </w:p>
    <w:p w14:paraId="625F6B4F">
      <w:pPr>
        <w:pStyle w:val="6"/>
        <w:keepNext w:val="0"/>
        <w:keepLines w:val="0"/>
        <w:pageBreakBefore w:val="0"/>
        <w:widowControl w:val="0"/>
        <w:shd w:val="clear"/>
        <w:kinsoku/>
        <w:wordWrap/>
        <w:overflowPunct w:val="0"/>
        <w:topLinePunct w:val="0"/>
        <w:autoSpaceDE/>
        <w:autoSpaceDN/>
        <w:bidi w:val="0"/>
        <w:adjustRightInd w:val="0"/>
        <w:snapToGrid w:val="0"/>
        <w:spacing w:after="0" w:afterLines="0" w:line="240" w:lineRule="auto"/>
        <w:ind w:firstLine="0" w:firstLineChars="0"/>
        <w:jc w:val="center"/>
        <w:textAlignment w:val="auto"/>
        <w:rPr>
          <w:rFonts w:hint="eastAsia" w:ascii="仿宋_GB2312" w:hAnsi="仿宋_GB2312" w:cs="仿宋_GB2312"/>
          <w:color w:val="auto"/>
          <w:kern w:val="0"/>
          <w:sz w:val="32"/>
          <w:szCs w:val="32"/>
          <w:highlight w:val="none"/>
          <w:lang w:val="en-US" w:eastAsia="zh-CN"/>
        </w:rPr>
      </w:pPr>
      <w:r>
        <w:rPr>
          <w:color w:val="auto"/>
          <w:highlight w:val="none"/>
        </w:rPr>
        <w:drawing>
          <wp:inline distT="0" distB="0" distL="114300" distR="114300">
            <wp:extent cx="3164205" cy="3964305"/>
            <wp:effectExtent l="0" t="0" r="762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rcRect t="1212" r="34" b="1589"/>
                    <a:stretch>
                      <a:fillRect/>
                    </a:stretch>
                  </pic:blipFill>
                  <pic:spPr>
                    <a:xfrm>
                      <a:off x="0" y="0"/>
                      <a:ext cx="3164205" cy="3964305"/>
                    </a:xfrm>
                    <a:prstGeom prst="rect">
                      <a:avLst/>
                    </a:prstGeom>
                    <a:noFill/>
                    <a:ln>
                      <a:noFill/>
                    </a:ln>
                  </pic:spPr>
                </pic:pic>
              </a:graphicData>
            </a:graphic>
          </wp:inline>
        </w:drawing>
      </w:r>
    </w:p>
    <w:p w14:paraId="52B73F9A">
      <w:pPr>
        <w:keepNext w:val="0"/>
        <w:keepLines w:val="0"/>
        <w:pageBreakBefore w:val="0"/>
        <w:widowControl w:val="0"/>
        <w:shd w:val="clear"/>
        <w:kinsoku/>
        <w:wordWrap/>
        <w:overflowPunct w:val="0"/>
        <w:topLinePunct w:val="0"/>
        <w:autoSpaceDE/>
        <w:autoSpaceDN/>
        <w:bidi w:val="0"/>
        <w:adjustRightInd/>
        <w:snapToGrid/>
        <w:spacing w:line="600" w:lineRule="exact"/>
        <w:ind w:firstLine="0" w:firstLineChars="0"/>
        <w:jc w:val="center"/>
        <w:textAlignment w:val="auto"/>
        <w:outlineLvl w:val="2"/>
        <w:rPr>
          <w:rFonts w:hint="eastAsia" w:ascii="楷体_GB2312" w:hAnsi="楷体_GB2312" w:eastAsia="楷体_GB2312" w:cs="楷体_GB2312"/>
          <w:b w:val="0"/>
          <w:bCs w:val="0"/>
          <w:color w:val="auto"/>
          <w:spacing w:val="0"/>
          <w:kern w:val="2"/>
          <w:sz w:val="28"/>
          <w:szCs w:val="28"/>
          <w:highlight w:val="none"/>
          <w:lang w:val="en-US" w:eastAsia="zh-CN"/>
        </w:rPr>
      </w:pPr>
      <w:bookmarkStart w:id="169" w:name="_Toc2920"/>
      <w:r>
        <w:rPr>
          <w:rFonts w:hint="eastAsia" w:ascii="楷体_GB2312" w:hAnsi="楷体_GB2312" w:eastAsia="楷体_GB2312" w:cs="楷体_GB2312"/>
          <w:b w:val="0"/>
          <w:bCs w:val="0"/>
          <w:color w:val="auto"/>
          <w:spacing w:val="0"/>
          <w:kern w:val="2"/>
          <w:sz w:val="28"/>
          <w:szCs w:val="28"/>
          <w:highlight w:val="none"/>
          <w:lang w:val="en-US" w:eastAsia="zh-CN"/>
        </w:rPr>
        <w:t>图2  济阳</w:t>
      </w:r>
      <w:r>
        <w:rPr>
          <w:rFonts w:hint="eastAsia" w:ascii="楷体_GB2312" w:hAnsi="楷体_GB2312" w:eastAsia="楷体_GB2312" w:cs="楷体_GB2312"/>
          <w:b w:val="0"/>
          <w:bCs w:val="0"/>
          <w:color w:val="auto"/>
          <w:kern w:val="2"/>
          <w:sz w:val="28"/>
          <w:szCs w:val="28"/>
          <w:highlight w:val="none"/>
        </w:rPr>
        <w:t>中心城区空间格局</w:t>
      </w:r>
      <w:bookmarkEnd w:id="169"/>
    </w:p>
    <w:p w14:paraId="0A3A0A7D">
      <w:pPr>
        <w:keepNext w:val="0"/>
        <w:keepLines w:val="0"/>
        <w:pageBreakBefore w:val="0"/>
        <w:widowControl w:val="0"/>
        <w:shd w:val="clear"/>
        <w:kinsoku/>
        <w:wordWrap/>
        <w:overflowPunct w:val="0"/>
        <w:topLinePunct w:val="0"/>
        <w:autoSpaceDE/>
        <w:autoSpaceDN/>
        <w:bidi w:val="0"/>
        <w:adjustRightInd w:val="0"/>
        <w:snapToGrid w:val="0"/>
        <w:spacing w:line="600" w:lineRule="exact"/>
        <w:ind w:firstLine="640"/>
        <w:jc w:val="both"/>
        <w:textAlignment w:val="auto"/>
        <w:outlineLvl w:val="9"/>
        <w:rPr>
          <w:rFonts w:hint="eastAsia"/>
          <w:color w:val="auto"/>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（二）提升城市综合服务功能。</w:t>
      </w:r>
      <w:r>
        <w:rPr>
          <w:rStyle w:val="28"/>
          <w:rFonts w:hint="eastAsia" w:ascii="仿宋_GB2312" w:hAnsi="仿宋_GB2312" w:eastAsia="仿宋_GB2312" w:cs="仿宋_GB2312"/>
          <w:b w:val="0"/>
          <w:bCs w:val="0"/>
          <w:color w:val="auto"/>
          <w:spacing w:val="0"/>
          <w:sz w:val="32"/>
          <w:szCs w:val="32"/>
          <w:highlight w:val="none"/>
          <w:lang w:val="en-US" w:eastAsia="zh-CN"/>
        </w:rPr>
        <w:t>坚持以人民为中心的发展思想，聚焦居民生活需求，系统推进居住环境改善、公共空间优化与商业服务升级，营造舒适宜居、富有活力的城区氛围。</w:t>
      </w:r>
      <w:r>
        <w:rPr>
          <w:rFonts w:hint="eastAsia"/>
          <w:color w:val="auto"/>
          <w:highlight w:val="none"/>
          <w:lang w:val="en-US" w:eastAsia="zh-CN"/>
        </w:rPr>
        <w:t>完善物业服务标准体系，推动物业服务标准化、精细化，提升物业整体服务水平。统筹推进城区公共空间“微更新”，利用闲置空地、街角等区域，建设一批口袋公园、文化广场等复合功能空间，增强文化内涵与运动休闲功能，满足居民日常休闲、社交与健身需求。加快推进汇鑫财富广场、星光里商业街等重点项目建设，推动闻韶街周边及人民公园更新与业态招商，优化空间布局。</w:t>
      </w:r>
      <w:r>
        <w:rPr>
          <w:rStyle w:val="28"/>
          <w:rFonts w:hint="eastAsia" w:ascii="仿宋_GB2312" w:hAnsi="仿宋_GB2312" w:eastAsia="仿宋_GB2312" w:cs="仿宋_GB2312"/>
          <w:b w:val="0"/>
          <w:bCs w:val="0"/>
          <w:color w:val="auto"/>
          <w:spacing w:val="0"/>
          <w:sz w:val="32"/>
          <w:szCs w:val="32"/>
          <w:highlight w:val="none"/>
          <w:lang w:val="en-US" w:eastAsia="zh-CN"/>
        </w:rPr>
        <w:t>不断提高居住品质，优化高品质住宅建设标准，引导商品住房开发、建造、运维全周期品质提升，更好满足居民多样化改善性住房需求。</w:t>
      </w:r>
    </w:p>
    <w:p w14:paraId="21E125A5">
      <w:pPr>
        <w:pStyle w:val="8"/>
        <w:keepNext w:val="0"/>
        <w:keepLines w:val="0"/>
        <w:pageBreakBefore w:val="0"/>
        <w:widowControl w:val="0"/>
        <w:shd w:val="clear"/>
        <w:kinsoku/>
        <w:wordWrap/>
        <w:overflowPunct w:val="0"/>
        <w:topLinePunct w:val="0"/>
        <w:autoSpaceDE/>
        <w:autoSpaceDN/>
        <w:bidi w:val="0"/>
        <w:adjustRightInd w:val="0"/>
        <w:snapToGrid w:val="0"/>
        <w:spacing w:after="0"/>
        <w:ind w:left="0" w:leftChars="0" w:firstLine="640"/>
        <w:jc w:val="both"/>
        <w:textAlignment w:val="auto"/>
        <w:rPr>
          <w:rStyle w:val="28"/>
          <w:rFonts w:hint="eastAsia" w:eastAsia="仿宋_GB2312"/>
          <w:color w:val="auto"/>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（三）高质量开展城市更新。</w:t>
      </w:r>
      <w:r>
        <w:rPr>
          <w:rStyle w:val="28"/>
          <w:rFonts w:hint="eastAsia" w:eastAsia="仿宋_GB2312"/>
          <w:color w:val="auto"/>
          <w:sz w:val="32"/>
          <w:szCs w:val="32"/>
          <w:highlight w:val="none"/>
          <w:lang w:val="en-US" w:eastAsia="zh-CN"/>
        </w:rPr>
        <w:t>科学规划重点街道（镇）空间布局，统筹推进基础设施与公共服务设施建设，促进城乡功能互补、融合发展。系统完善供水、供电、供气、道路交通等基础设施体系，提升污水与垃圾处理能力，推进地下管廊与智慧市政设施建设，保障城镇基础设施安全高效运行。有序实施城中村改造与老旧小区综合整治，统筹推进老城老旧小区及城中村综合改造、老城区给排水管网改造、年代街区微更新等重点项目建设，系统开展济阳街道、济北街道建筑立面修缮与水电气暖等管网更新，加强适老化与无障碍设施改造，切实提升居民生活品质。以对接济南新旧动能转换起步区为标准，推进回河片区改造提升，优化空间布局与功能配套，着力提升区域综合承载力和人居品质，打造与济南新旧动能转换起步区协同融合、无缝衔接的现代化城市功能拓展区。</w:t>
      </w:r>
    </w:p>
    <w:p w14:paraId="45292B86">
      <w:pPr>
        <w:pStyle w:val="3"/>
        <w:keepNext w:val="0"/>
        <w:keepLines w:val="0"/>
        <w:pageBreakBefore w:val="0"/>
        <w:widowControl w:val="0"/>
        <w:shd w:val="clear"/>
        <w:kinsoku/>
        <w:wordWrap/>
        <w:overflowPunct w:val="0"/>
        <w:topLinePunct w:val="0"/>
        <w:autoSpaceDE/>
        <w:autoSpaceDN/>
        <w:bidi w:val="0"/>
        <w:adjustRightInd w:val="0"/>
        <w:snapToGrid w:val="0"/>
        <w:spacing w:beforeLines="0" w:afterLines="0" w:line="600" w:lineRule="exact"/>
        <w:ind w:firstLine="640" w:firstLineChars="200"/>
        <w:jc w:val="both"/>
        <w:textAlignment w:val="auto"/>
        <w:rPr>
          <w:rFonts w:hint="eastAsia" w:ascii="黑体" w:hAnsi="黑体" w:eastAsia="黑体" w:cs="黑体"/>
          <w:color w:val="auto"/>
          <w:sz w:val="28"/>
          <w:szCs w:val="21"/>
          <w:highlight w:val="none"/>
          <w:lang w:val="en-US" w:eastAsia="zh-CN"/>
        </w:rPr>
      </w:pPr>
      <w:bookmarkStart w:id="170" w:name="_Toc1563"/>
      <w:bookmarkStart w:id="171" w:name="_Toc19513"/>
      <w:bookmarkStart w:id="172" w:name="_Toc16188"/>
      <w:bookmarkStart w:id="173" w:name="_Toc1657"/>
      <w:bookmarkStart w:id="174" w:name="_Toc2619"/>
      <w:bookmarkStart w:id="175" w:name="_Toc19347"/>
      <w:bookmarkStart w:id="176" w:name="_Toc11491"/>
      <w:bookmarkStart w:id="177" w:name="_Toc20215"/>
      <w:r>
        <w:rPr>
          <w:rFonts w:hint="eastAsia" w:ascii="黑体" w:hAnsi="黑体" w:eastAsia="黑体" w:cs="黑体"/>
          <w:color w:val="auto"/>
          <w:highlight w:val="none"/>
          <w:lang w:val="en-US" w:eastAsia="zh-CN"/>
        </w:rPr>
        <w:t>二、大力发展现代高效特色农业</w:t>
      </w:r>
      <w:bookmarkEnd w:id="170"/>
      <w:bookmarkEnd w:id="171"/>
      <w:bookmarkEnd w:id="172"/>
      <w:bookmarkEnd w:id="173"/>
      <w:bookmarkEnd w:id="174"/>
      <w:bookmarkEnd w:id="175"/>
      <w:bookmarkEnd w:id="176"/>
      <w:bookmarkEnd w:id="177"/>
    </w:p>
    <w:p w14:paraId="74DF4DE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color w:val="auto"/>
          <w:kern w:val="2"/>
          <w:szCs w:val="32"/>
          <w:highlight w:val="none"/>
        </w:rPr>
        <w:t>围绕粮食与重要农产品供给核心，以巩固产能为基础、做强品牌为抓手、强化科技为动力、推进绿色为导向，着力提升粮食与重要农产品供给能力，构建全产业链融合的现代高效特色农业体系，</w:t>
      </w:r>
      <w:r>
        <w:rPr>
          <w:rFonts w:hint="eastAsia"/>
          <w:color w:val="auto"/>
          <w:kern w:val="2"/>
          <w:szCs w:val="32"/>
          <w:highlight w:val="none"/>
          <w:lang w:val="en-US" w:eastAsia="zh-CN"/>
        </w:rPr>
        <w:t>着力</w:t>
      </w:r>
      <w:r>
        <w:rPr>
          <w:rFonts w:hint="eastAsia"/>
          <w:color w:val="auto"/>
          <w:kern w:val="2"/>
          <w:szCs w:val="32"/>
          <w:highlight w:val="none"/>
        </w:rPr>
        <w:t>打造种养殖育繁一体化发展</w:t>
      </w:r>
      <w:r>
        <w:rPr>
          <w:rFonts w:hint="eastAsia"/>
          <w:color w:val="auto"/>
          <w:kern w:val="2"/>
          <w:szCs w:val="32"/>
          <w:highlight w:val="none"/>
          <w:lang w:val="en-US" w:eastAsia="zh-CN"/>
        </w:rPr>
        <w:t>中心</w:t>
      </w:r>
      <w:r>
        <w:rPr>
          <w:rFonts w:hint="eastAsia"/>
          <w:color w:val="auto"/>
          <w:kern w:val="2"/>
          <w:szCs w:val="32"/>
          <w:highlight w:val="none"/>
        </w:rPr>
        <w:t>。</w:t>
      </w:r>
    </w:p>
    <w:p w14:paraId="2D399EC5">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eastAsia="zh-CN"/>
        </w:rPr>
      </w:pPr>
      <w:r>
        <w:rPr>
          <w:rFonts w:hint="eastAsia" w:ascii="楷体_GB2312" w:hAnsi="楷体_GB2312" w:eastAsia="楷体_GB2312" w:cs="楷体_GB2312"/>
          <w:b w:val="0"/>
          <w:bCs w:val="0"/>
          <w:color w:val="auto"/>
          <w:spacing w:val="0"/>
          <w:sz w:val="32"/>
          <w:szCs w:val="32"/>
          <w:highlight w:val="none"/>
          <w:lang w:val="en-US" w:eastAsia="zh-CN"/>
        </w:rPr>
        <w:t>（一）巩固提升稳产保供能力。</w:t>
      </w:r>
      <w:r>
        <w:rPr>
          <w:rFonts w:ascii="仿宋_GB2312" w:hAnsi="宋体" w:eastAsia="仿宋_GB2312" w:cs="仿宋_GB2312"/>
          <w:color w:val="auto"/>
          <w:kern w:val="0"/>
          <w:sz w:val="32"/>
          <w:szCs w:val="32"/>
          <w:highlight w:val="none"/>
          <w:lang w:val="en-US" w:eastAsia="zh-CN" w:bidi="ar"/>
        </w:rPr>
        <w:t>全面落实粮食安全</w:t>
      </w:r>
      <w:r>
        <w:rPr>
          <w:rFonts w:hint="eastAsia" w:ascii="仿宋_GB2312" w:hAnsi="宋体" w:eastAsia="仿宋_GB2312" w:cs="仿宋_GB2312"/>
          <w:color w:val="auto"/>
          <w:kern w:val="0"/>
          <w:sz w:val="32"/>
          <w:szCs w:val="32"/>
          <w:highlight w:val="none"/>
          <w:lang w:val="en-US" w:eastAsia="zh-CN" w:bidi="ar"/>
        </w:rPr>
        <w:t>责任，坚决守住耕地和基本农田红线，</w:t>
      </w:r>
      <w:r>
        <w:rPr>
          <w:rFonts w:hint="eastAsia"/>
          <w:color w:val="auto"/>
          <w:kern w:val="2"/>
          <w:sz w:val="32"/>
          <w:szCs w:val="32"/>
          <w:highlight w:val="none"/>
          <w:lang w:eastAsia="zh-CN"/>
        </w:rPr>
        <w:t>强化耕地用途管制与流转监管，有序将符合条件的永久基本农田全部建成高标准</w:t>
      </w:r>
      <w:r>
        <w:rPr>
          <w:rFonts w:hint="eastAsia"/>
          <w:color w:val="auto"/>
          <w:kern w:val="2"/>
          <w:szCs w:val="32"/>
          <w:highlight w:val="none"/>
          <w:lang w:eastAsia="zh-CN"/>
        </w:rPr>
        <w:t>农田，</w:t>
      </w:r>
      <w:r>
        <w:rPr>
          <w:rFonts w:hint="eastAsia"/>
          <w:color w:val="auto"/>
          <w:highlight w:val="none"/>
          <w:lang w:val="en-US" w:eastAsia="zh-CN"/>
        </w:rPr>
        <w:t>到2030年全区耕地保有量不低于65.6万亩，永久基本农田累计不低于59.95万亩以上。</w:t>
      </w:r>
      <w:r>
        <w:rPr>
          <w:rFonts w:hint="eastAsia"/>
          <w:color w:val="auto"/>
          <w:kern w:val="2"/>
          <w:szCs w:val="32"/>
          <w:highlight w:val="none"/>
          <w:lang w:eastAsia="zh-CN"/>
        </w:rPr>
        <w:t>聚焦粮食和重要农产品稳产保供，</w:t>
      </w:r>
      <w:r>
        <w:rPr>
          <w:rFonts w:hint="eastAsia" w:ascii="仿宋_GB2312" w:hAnsi="仿宋_GB2312" w:eastAsia="仿宋_GB2312" w:cs="仿宋_GB2312"/>
          <w:color w:val="auto"/>
          <w:sz w:val="32"/>
          <w:szCs w:val="32"/>
          <w:highlight w:val="none"/>
          <w:lang w:val="en-US" w:eastAsia="zh-CN"/>
        </w:rPr>
        <w:t>推进区域性农业综合服务</w:t>
      </w:r>
      <w:r>
        <w:rPr>
          <w:rFonts w:hint="eastAsia" w:cs="仿宋_GB2312"/>
          <w:color w:val="auto"/>
          <w:sz w:val="32"/>
          <w:szCs w:val="32"/>
          <w:highlight w:val="none"/>
          <w:lang w:val="en-US" w:eastAsia="zh-CN"/>
        </w:rPr>
        <w:t>平台</w:t>
      </w:r>
      <w:r>
        <w:rPr>
          <w:rFonts w:hint="eastAsia" w:ascii="仿宋_GB2312" w:hAnsi="仿宋_GB2312" w:eastAsia="仿宋_GB2312" w:cs="仿宋_GB2312"/>
          <w:color w:val="auto"/>
          <w:sz w:val="32"/>
          <w:szCs w:val="32"/>
          <w:highlight w:val="none"/>
          <w:lang w:val="en-US" w:eastAsia="zh-CN"/>
        </w:rPr>
        <w:t>建设，提升社会化服务水平，实施粮食单产提升项目，</w:t>
      </w:r>
      <w:r>
        <w:rPr>
          <w:rFonts w:hint="eastAsia"/>
          <w:color w:val="auto"/>
          <w:kern w:val="2"/>
          <w:szCs w:val="32"/>
          <w:highlight w:val="none"/>
          <w:lang w:eastAsia="zh-CN"/>
        </w:rPr>
        <w:t>坚持稳面积与增单产协同发力，</w:t>
      </w:r>
      <w:r>
        <w:rPr>
          <w:rFonts w:hint="eastAsia" w:ascii="仿宋_GB2312" w:hAnsi="仿宋_GB2312" w:eastAsia="仿宋_GB2312" w:cs="仿宋_GB2312"/>
          <w:color w:val="auto"/>
          <w:sz w:val="32"/>
          <w:szCs w:val="32"/>
          <w:highlight w:val="none"/>
          <w:lang w:val="en-US" w:eastAsia="zh-CN"/>
        </w:rPr>
        <w:t>新增30万亩高产粮田，</w:t>
      </w:r>
      <w:r>
        <w:rPr>
          <w:rFonts w:hint="eastAsia"/>
          <w:color w:val="auto"/>
          <w:kern w:val="2"/>
          <w:szCs w:val="32"/>
          <w:highlight w:val="none"/>
          <w:lang w:eastAsia="zh-CN"/>
        </w:rPr>
        <w:t>推动区域性整建制“吨半粮”产能建设，加快现代农事综合服务</w:t>
      </w:r>
      <w:r>
        <w:rPr>
          <w:rFonts w:hint="eastAsia"/>
          <w:color w:val="auto"/>
          <w:kern w:val="2"/>
          <w:szCs w:val="32"/>
          <w:highlight w:val="none"/>
          <w:lang w:val="en-US" w:eastAsia="zh-CN"/>
        </w:rPr>
        <w:t>平台</w:t>
      </w:r>
      <w:r>
        <w:rPr>
          <w:rFonts w:hint="eastAsia"/>
          <w:color w:val="auto"/>
          <w:kern w:val="2"/>
          <w:szCs w:val="32"/>
          <w:highlight w:val="none"/>
          <w:lang w:eastAsia="zh-CN"/>
        </w:rPr>
        <w:t>建设，提高抗灾减灾能力，稳步增强粮食综合生产能力。</w:t>
      </w:r>
      <w:r>
        <w:rPr>
          <w:rFonts w:hint="eastAsia" w:ascii="仿宋_GB2312" w:hAnsi="仿宋_GB2312" w:eastAsia="仿宋_GB2312" w:cs="仿宋_GB2312"/>
          <w:color w:val="auto"/>
          <w:sz w:val="32"/>
          <w:szCs w:val="32"/>
          <w:highlight w:val="none"/>
          <w:lang w:val="en-US" w:eastAsia="zh-CN"/>
        </w:rPr>
        <w:t>构建多元化食物供给格局，实施“菜篮子”工程，增加蔬菜、大豆、油料作物面积，提升肉蛋奶产能。</w:t>
      </w:r>
      <w:r>
        <w:rPr>
          <w:rFonts w:hint="eastAsia"/>
          <w:color w:val="auto"/>
          <w:kern w:val="2"/>
          <w:szCs w:val="32"/>
          <w:highlight w:val="none"/>
          <w:lang w:eastAsia="zh-CN"/>
        </w:rPr>
        <w:t>因地制宜开展田、土、水、路、林、电、技、管综合治理，改善农田耕作层质量，有效提升农田保水保土保肥能力、旱涝灾害防御水平和机械化作业便利度。优化种植结构，因地制宜发展小众、特色、精细、优质作物品种，推动高附加值、高效益作物种植。</w:t>
      </w:r>
    </w:p>
    <w:p w14:paraId="735DDFFA">
      <w:pPr>
        <w:keepNext w:val="0"/>
        <w:keepLines w:val="0"/>
        <w:pageBreakBefore w:val="0"/>
        <w:widowControl w:val="0"/>
        <w:numPr>
          <w:ilvl w:val="0"/>
          <w:numId w:val="0"/>
        </w:numPr>
        <w:shd w:val="clea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（二）做大现代农业产业体系。</w:t>
      </w:r>
      <w:r>
        <w:rPr>
          <w:rFonts w:hint="eastAsia"/>
          <w:color w:val="auto"/>
          <w:kern w:val="2"/>
          <w:szCs w:val="32"/>
          <w:highlight w:val="none"/>
          <w:lang w:eastAsia="zh-CN"/>
        </w:rPr>
        <w:t>以“强链、补链、延链”为核心，强化企业带动与项目支撑，加快构建现代农业产业体系。</w:t>
      </w:r>
      <w:r>
        <w:rPr>
          <w:rFonts w:hint="eastAsia" w:ascii="仿宋_GB2312" w:hAnsi="仿宋_GB2312" w:eastAsia="仿宋_GB2312" w:cs="仿宋_GB2312"/>
          <w:i w:val="0"/>
          <w:iCs w:val="0"/>
          <w:caps w:val="0"/>
          <w:color w:val="auto"/>
          <w:spacing w:val="0"/>
          <w:sz w:val="32"/>
          <w:szCs w:val="32"/>
          <w:highlight w:val="none"/>
          <w:shd w:val="clear" w:fill="FFFFFF"/>
          <w:vertAlign w:val="baseline"/>
          <w:lang w:val="en-US" w:eastAsia="zh-CN"/>
        </w:rPr>
        <w:t>以省级农产品加工业高质量发展先行县项目为引领，推进农产品加工设施改造提升，培育一批农产品加工企业。</w:t>
      </w:r>
      <w:r>
        <w:rPr>
          <w:rFonts w:hint="eastAsia" w:ascii="仿宋_GB2312" w:hAnsi="仿宋_GB2312" w:eastAsia="仿宋_GB2312" w:cs="仿宋_GB2312"/>
          <w:color w:val="auto"/>
          <w:sz w:val="32"/>
          <w:szCs w:val="32"/>
          <w:highlight w:val="none"/>
        </w:rPr>
        <w:t>推进“天下渔仓”</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天下蛋仓</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渔业和</w:t>
      </w:r>
      <w:r>
        <w:rPr>
          <w:rFonts w:hint="eastAsia" w:ascii="仿宋_GB2312" w:hAnsi="仿宋_GB2312" w:eastAsia="仿宋_GB2312" w:cs="仿宋_GB2312"/>
          <w:color w:val="auto"/>
          <w:sz w:val="32"/>
          <w:szCs w:val="32"/>
          <w:highlight w:val="none"/>
        </w:rPr>
        <w:t>畜产品养殖及深加工项目落地投产，</w:t>
      </w:r>
      <w:r>
        <w:rPr>
          <w:rFonts w:hint="eastAsia"/>
          <w:color w:val="auto"/>
          <w:kern w:val="2"/>
          <w:szCs w:val="32"/>
          <w:highlight w:val="none"/>
          <w:lang w:eastAsia="zh-CN"/>
        </w:rPr>
        <w:t>打造集智能化养殖、饲料加工、产品深加工于一体的产业链条。</w:t>
      </w:r>
      <w:r>
        <w:rPr>
          <w:rFonts w:hint="eastAsia"/>
          <w:color w:val="auto"/>
          <w:kern w:val="2"/>
          <w:szCs w:val="32"/>
          <w:highlight w:val="none"/>
          <w:lang w:val="en-US" w:eastAsia="zh-CN"/>
        </w:rPr>
        <w:t>加快推进</w:t>
      </w:r>
      <w:r>
        <w:rPr>
          <w:rFonts w:hint="eastAsia"/>
          <w:color w:val="auto"/>
          <w:kern w:val="2"/>
          <w:szCs w:val="32"/>
          <w:highlight w:val="none"/>
          <w:lang w:eastAsia="zh-CN"/>
        </w:rPr>
        <w:t>国家现代农业产业园建设。引导骨干企业发挥“链主”作用，推动农业生产向分选包装、精深加工、品牌营销等环节延伸。合理利用林地资源，推广林菌、林药等林下复合种植模式，提升土地综合利用效率。实施设施畜牧现代化提升行动，推广一体化规模养殖、立体养殖与智慧养殖模式，打造种养殖育繁一体化发展</w:t>
      </w:r>
      <w:r>
        <w:rPr>
          <w:rFonts w:hint="eastAsia"/>
          <w:color w:val="auto"/>
          <w:kern w:val="2"/>
          <w:szCs w:val="32"/>
          <w:highlight w:val="none"/>
          <w:lang w:val="en-US" w:eastAsia="zh-CN"/>
        </w:rPr>
        <w:t>中心</w:t>
      </w:r>
      <w:r>
        <w:rPr>
          <w:rFonts w:hint="eastAsia"/>
          <w:color w:val="auto"/>
          <w:kern w:val="2"/>
          <w:szCs w:val="32"/>
          <w:highlight w:val="none"/>
          <w:lang w:eastAsia="zh-CN"/>
        </w:rPr>
        <w:t>。依托“一村一业”及衔接资金项目推动特色农产品初加工与电商销售体系建设，培育一批具有市场竞争力的农产品品牌。</w:t>
      </w:r>
      <w:r>
        <w:rPr>
          <w:rFonts w:hint="eastAsia" w:ascii="仿宋_GB2312" w:hAnsi="仿宋_GB2312" w:eastAsia="仿宋_GB2312" w:cs="仿宋_GB2312"/>
          <w:color w:val="auto"/>
          <w:sz w:val="32"/>
          <w:szCs w:val="32"/>
          <w:highlight w:val="none"/>
        </w:rPr>
        <w:t>深入推进农文旅融合发展，发展田园观光、农耕体验等业态，推出综合体验项目和精品旅游线路，建设旅游民宿集聚区，培育乡村特色手工艺品，</w:t>
      </w:r>
      <w:r>
        <w:rPr>
          <w:rFonts w:hint="eastAsia" w:ascii="仿宋_GB2312" w:hAnsi="仿宋_GB2312" w:eastAsia="仿宋_GB2312" w:cs="仿宋_GB2312"/>
          <w:color w:val="auto"/>
          <w:sz w:val="32"/>
          <w:szCs w:val="32"/>
          <w:highlight w:val="none"/>
          <w:lang w:val="en-US" w:eastAsia="zh-CN"/>
        </w:rPr>
        <w:t>加快一二三产业深度融合。</w:t>
      </w:r>
    </w:p>
    <w:p w14:paraId="28CA61E7">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eastAsia="zh-CN"/>
        </w:rPr>
      </w:pPr>
      <w:r>
        <w:rPr>
          <w:rFonts w:hint="eastAsia" w:ascii="楷体_GB2312" w:hAnsi="楷体_GB2312" w:eastAsia="楷体_GB2312" w:cs="楷体_GB2312"/>
          <w:b w:val="0"/>
          <w:bCs w:val="0"/>
          <w:color w:val="auto"/>
          <w:spacing w:val="0"/>
          <w:sz w:val="32"/>
          <w:szCs w:val="32"/>
          <w:highlight w:val="none"/>
          <w:lang w:val="en-US" w:eastAsia="zh-CN"/>
        </w:rPr>
        <w:t>（三）做强农业优势特色产业集群。</w:t>
      </w:r>
      <w:r>
        <w:rPr>
          <w:rFonts w:hint="eastAsia" w:ascii="仿宋_GB2312" w:hAnsi="仿宋_GB2312" w:eastAsia="仿宋_GB2312" w:cs="仿宋_GB2312"/>
          <w:b w:val="0"/>
          <w:bCs w:val="0"/>
          <w:color w:val="auto"/>
          <w:spacing w:val="0"/>
          <w:kern w:val="2"/>
          <w:sz w:val="32"/>
          <w:szCs w:val="32"/>
          <w:highlight w:val="none"/>
          <w:lang w:val="en-US" w:eastAsia="zh-CN"/>
        </w:rPr>
        <w:t>全面发挥</w:t>
      </w:r>
      <w:r>
        <w:rPr>
          <w:rFonts w:hint="eastAsia"/>
          <w:color w:val="auto"/>
          <w:kern w:val="2"/>
          <w:szCs w:val="32"/>
          <w:highlight w:val="none"/>
          <w:lang w:eastAsia="zh-CN"/>
        </w:rPr>
        <w:t>省级优势特色农业（蔬菜）全产业链提质增效项目和国家现代农业产业园</w:t>
      </w:r>
      <w:r>
        <w:rPr>
          <w:rFonts w:hint="eastAsia"/>
          <w:color w:val="auto"/>
          <w:kern w:val="2"/>
          <w:szCs w:val="32"/>
          <w:highlight w:val="none"/>
          <w:lang w:val="en-US" w:eastAsia="zh-CN"/>
        </w:rPr>
        <w:t>项目引领带动作用</w:t>
      </w:r>
      <w:r>
        <w:rPr>
          <w:rFonts w:hint="eastAsia"/>
          <w:color w:val="auto"/>
          <w:kern w:val="2"/>
          <w:szCs w:val="32"/>
          <w:highlight w:val="none"/>
          <w:lang w:eastAsia="zh-CN"/>
        </w:rPr>
        <w:t>，扩大粮食、设施蔬菜、林果、</w:t>
      </w:r>
      <w:r>
        <w:rPr>
          <w:rFonts w:hint="eastAsia" w:ascii="仿宋_GB2312" w:hAnsi="仿宋_GB2312" w:eastAsia="仿宋_GB2312" w:cs="仿宋_GB2312"/>
          <w:color w:val="auto"/>
          <w:sz w:val="32"/>
          <w:szCs w:val="32"/>
          <w:highlight w:val="none"/>
          <w:lang w:val="en-US" w:eastAsia="zh-CN"/>
        </w:rPr>
        <w:t>种苗、</w:t>
      </w:r>
      <w:r>
        <w:rPr>
          <w:rFonts w:hint="eastAsia"/>
          <w:color w:val="auto"/>
          <w:kern w:val="2"/>
          <w:szCs w:val="32"/>
          <w:highlight w:val="none"/>
          <w:lang w:eastAsia="zh-CN"/>
        </w:rPr>
        <w:t>畜禽、渔业等优势产业覆盖面，打造一批链条完整、带动有力、品牌突出、联农紧密的特色农业全产业链重点链。积极引进台湾</w:t>
      </w:r>
      <w:r>
        <w:rPr>
          <w:rFonts w:hint="eastAsia"/>
          <w:color w:val="auto"/>
          <w:kern w:val="2"/>
          <w:szCs w:val="32"/>
          <w:highlight w:val="none"/>
          <w:lang w:val="en-US" w:eastAsia="zh-CN"/>
        </w:rPr>
        <w:t>地区</w:t>
      </w:r>
      <w:r>
        <w:rPr>
          <w:rFonts w:hint="eastAsia"/>
          <w:color w:val="auto"/>
          <w:kern w:val="2"/>
          <w:szCs w:val="32"/>
          <w:highlight w:val="none"/>
          <w:lang w:eastAsia="zh-CN"/>
        </w:rPr>
        <w:t>农产品的优质品种和先进的生产经营模式，充分发挥</w:t>
      </w:r>
      <w:r>
        <w:rPr>
          <w:rFonts w:hint="eastAsia"/>
          <w:color w:val="auto"/>
          <w:kern w:val="2"/>
          <w:szCs w:val="32"/>
          <w:highlight w:val="none"/>
          <w:lang w:val="en-US" w:eastAsia="zh-CN"/>
        </w:rPr>
        <w:t>产业</w:t>
      </w:r>
      <w:r>
        <w:rPr>
          <w:rFonts w:hint="eastAsia"/>
          <w:color w:val="auto"/>
          <w:kern w:val="2"/>
          <w:szCs w:val="32"/>
          <w:highlight w:val="none"/>
          <w:lang w:eastAsia="zh-CN"/>
        </w:rPr>
        <w:t>园区的区位优势，推动果蔬种植业的多样化发展。</w:t>
      </w:r>
      <w:r>
        <w:rPr>
          <w:rFonts w:hint="eastAsia" w:ascii="仿宋_GB2312" w:hAnsi="仿宋_GB2312" w:eastAsia="仿宋_GB2312" w:cs="仿宋_GB2312"/>
          <w:color w:val="auto"/>
          <w:sz w:val="32"/>
          <w:szCs w:val="32"/>
          <w:highlight w:val="none"/>
          <w:lang w:val="en-US" w:eastAsia="zh-CN"/>
        </w:rPr>
        <w:t>推进设施农业基础提升和智慧农业应用基地建设，做强“一镇一品”优势特色产业，</w:t>
      </w:r>
      <w:r>
        <w:rPr>
          <w:rFonts w:hint="eastAsia" w:ascii="仿宋_GB2312" w:hAnsi="仿宋_GB2312" w:eastAsia="仿宋_GB2312" w:cs="仿宋_GB2312"/>
          <w:color w:val="auto"/>
          <w:sz w:val="32"/>
          <w:szCs w:val="32"/>
          <w:highlight w:val="none"/>
        </w:rPr>
        <w:t>重点扶持曲堤黄瓜、仁风西瓜、垛石番茄等</w:t>
      </w:r>
      <w:r>
        <w:rPr>
          <w:rFonts w:hint="eastAsia" w:ascii="仿宋_GB2312" w:hAnsi="仿宋_GB2312" w:eastAsia="仿宋_GB2312" w:cs="仿宋_GB2312"/>
          <w:color w:val="auto"/>
          <w:sz w:val="32"/>
          <w:szCs w:val="32"/>
          <w:highlight w:val="none"/>
          <w:lang w:val="en-US" w:eastAsia="zh-CN"/>
        </w:rPr>
        <w:t>设施瓜菜</w:t>
      </w:r>
      <w:r>
        <w:rPr>
          <w:rFonts w:hint="eastAsia" w:ascii="仿宋_GB2312" w:hAnsi="仿宋_GB2312" w:eastAsia="仿宋_GB2312" w:cs="仿宋_GB2312"/>
          <w:color w:val="auto"/>
          <w:sz w:val="32"/>
          <w:szCs w:val="32"/>
          <w:highlight w:val="none"/>
        </w:rPr>
        <w:t>扩大规模、提升品质和附加值。</w:t>
      </w:r>
      <w:r>
        <w:rPr>
          <w:rFonts w:hint="eastAsia"/>
          <w:color w:val="auto"/>
          <w:kern w:val="2"/>
          <w:szCs w:val="32"/>
          <w:highlight w:val="none"/>
          <w:lang w:eastAsia="zh-CN"/>
        </w:rPr>
        <w:t>强化品牌引领与市场拓展，做好“土特产”文章，探索“农产品品牌＋”融合模式，提升“好味知济”区域公用品牌影响力。</w:t>
      </w:r>
    </w:p>
    <w:p w14:paraId="6BFEACB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eastAsia="zh-CN"/>
        </w:rPr>
      </w:pPr>
      <w:r>
        <w:rPr>
          <w:rFonts w:hint="eastAsia" w:ascii="楷体_GB2312" w:hAnsi="楷体_GB2312" w:eastAsia="楷体_GB2312" w:cs="楷体_GB2312"/>
          <w:b w:val="0"/>
          <w:bCs w:val="0"/>
          <w:color w:val="auto"/>
          <w:spacing w:val="0"/>
          <w:sz w:val="32"/>
          <w:szCs w:val="32"/>
          <w:highlight w:val="none"/>
          <w:lang w:val="en-US" w:eastAsia="zh-CN"/>
        </w:rPr>
        <w:t>（四）全面强化农业科技创新能力。</w:t>
      </w:r>
      <w:r>
        <w:rPr>
          <w:rFonts w:hint="eastAsia"/>
          <w:color w:val="auto"/>
          <w:kern w:val="2"/>
          <w:szCs w:val="32"/>
          <w:highlight w:val="none"/>
          <w:lang w:eastAsia="zh-CN"/>
        </w:rPr>
        <w:t>持续优化农业科技创新体系，推进高效现代种苗繁育智慧园、现代种业提升工程等重点项目建设，加快建设数字农场，提升济阳黄瓜、西瓜、番茄、种苗等特色产业的数字化水平。</w:t>
      </w:r>
      <w:r>
        <w:rPr>
          <w:rFonts w:hint="eastAsia"/>
          <w:color w:val="auto"/>
          <w:kern w:val="2"/>
          <w:szCs w:val="32"/>
          <w:highlight w:val="none"/>
          <w:lang w:val="en-US" w:eastAsia="zh-CN"/>
        </w:rPr>
        <w:t>依托安信种苗等种苗企业，</w:t>
      </w:r>
      <w:r>
        <w:rPr>
          <w:rFonts w:hint="eastAsia"/>
          <w:color w:val="auto"/>
          <w:kern w:val="2"/>
          <w:szCs w:val="32"/>
          <w:highlight w:val="none"/>
          <w:lang w:eastAsia="zh-CN"/>
        </w:rPr>
        <w:t>构建工厂化全链条智慧种苗模式，推动从品种选育、基质配置、播种管护到嫁接分拣、病虫害防控、水肥管理及运输服务等环节全面自动化，巩固蔬菜种苗产业链“链主”地位，力争年育苗能力突破</w:t>
      </w:r>
      <w:r>
        <w:rPr>
          <w:rFonts w:hint="eastAsia"/>
          <w:color w:val="auto"/>
          <w:kern w:val="2"/>
          <w:szCs w:val="32"/>
          <w:highlight w:val="none"/>
          <w:lang w:val="en-US" w:eastAsia="zh-CN"/>
        </w:rPr>
        <w:t>6</w:t>
      </w:r>
      <w:r>
        <w:rPr>
          <w:rFonts w:hint="eastAsia"/>
          <w:color w:val="auto"/>
          <w:kern w:val="2"/>
          <w:szCs w:val="32"/>
          <w:highlight w:val="none"/>
          <w:lang w:eastAsia="zh-CN"/>
        </w:rPr>
        <w:t>亿株。实施“泉城良田”数字化建设工程，聚焦粮食产能提升，推进农情调度、田间管理、防灾减灾与种粮服务等关键环节数字化，实现高标准农田与永久基本农田“一张图”管理，促进良田、良种、良法、良机、良制协同发力，提升“耕、种、管、收、加、销”全链条数字化服务水平。</w:t>
      </w:r>
    </w:p>
    <w:p w14:paraId="4CCEC200">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b w:val="0"/>
          <w:bCs w:val="0"/>
          <w:i w:val="0"/>
          <w:iCs w:val="0"/>
          <w:caps w:val="0"/>
          <w:color w:val="auto"/>
          <w:spacing w:val="0"/>
          <w:kern w:val="2"/>
          <w:sz w:val="32"/>
          <w:szCs w:val="32"/>
          <w:highlight w:val="none"/>
          <w:shd w:val="clear"/>
          <w:lang w:eastAsia="zh-CN"/>
        </w:rPr>
      </w:pPr>
      <w:r>
        <w:rPr>
          <w:rFonts w:hint="eastAsia" w:ascii="楷体_GB2312" w:hAnsi="楷体_GB2312" w:eastAsia="楷体_GB2312" w:cs="楷体_GB2312"/>
          <w:b w:val="0"/>
          <w:bCs w:val="0"/>
          <w:color w:val="auto"/>
          <w:spacing w:val="0"/>
          <w:sz w:val="32"/>
          <w:szCs w:val="32"/>
          <w:highlight w:val="none"/>
          <w:lang w:val="en-US" w:eastAsia="zh-CN"/>
        </w:rPr>
        <w:t>（五）深入推进农业绿色发展。</w:t>
      </w:r>
      <w:r>
        <w:rPr>
          <w:rFonts w:hint="eastAsia"/>
          <w:color w:val="auto"/>
          <w:kern w:val="2"/>
          <w:szCs w:val="32"/>
          <w:highlight w:val="none"/>
          <w:lang w:eastAsia="zh-CN"/>
        </w:rPr>
        <w:t>以“生态优先、低碳循环、提质增效”为导向，构建资源节约、环境友好、效益提升的现代农业体系。加快引进智能监测、精准作业等先进农业装备，提升绿色生产技术数字化水平。加快发展生态农业，推广种养循环、节水增效等绿色技术。实施科学施肥增效行动，推进化肥农药减量增效，主要农作物测土配方施肥</w:t>
      </w:r>
      <w:r>
        <w:rPr>
          <w:rFonts w:hint="eastAsia"/>
          <w:color w:val="auto"/>
          <w:kern w:val="2"/>
          <w:szCs w:val="32"/>
          <w:highlight w:val="none"/>
          <w:lang w:val="en-US" w:eastAsia="zh-CN"/>
        </w:rPr>
        <w:t>技术</w:t>
      </w:r>
      <w:r>
        <w:rPr>
          <w:rFonts w:hint="eastAsia"/>
          <w:color w:val="auto"/>
          <w:kern w:val="2"/>
          <w:szCs w:val="32"/>
          <w:highlight w:val="none"/>
          <w:lang w:eastAsia="zh-CN"/>
        </w:rPr>
        <w:t>覆盖率稳定在90%以上。加强农产品质量安全监管队伍建设，健全监管溯源体系，主要农产品</w:t>
      </w:r>
      <w:r>
        <w:rPr>
          <w:rFonts w:hint="eastAsia" w:ascii="仿宋_GB2312" w:hAnsi="仿宋_GB2312" w:eastAsia="仿宋_GB2312" w:cs="仿宋_GB2312"/>
          <w:b w:val="0"/>
          <w:bCs w:val="0"/>
          <w:i w:val="0"/>
          <w:iCs w:val="0"/>
          <w:caps w:val="0"/>
          <w:color w:val="auto"/>
          <w:spacing w:val="0"/>
          <w:kern w:val="2"/>
          <w:sz w:val="32"/>
          <w:szCs w:val="32"/>
          <w:highlight w:val="none"/>
          <w:shd w:val="clear"/>
          <w:lang w:eastAsia="zh-CN"/>
        </w:rPr>
        <w:t>检测合格率达到98%以上，</w:t>
      </w:r>
      <w:r>
        <w:rPr>
          <w:rFonts w:hint="eastAsia" w:ascii="仿宋_GB2312" w:hAnsi="仿宋_GB2312" w:eastAsia="仿宋_GB2312" w:cs="仿宋_GB2312"/>
          <w:b w:val="0"/>
          <w:bCs w:val="0"/>
          <w:i w:val="0"/>
          <w:iCs w:val="0"/>
          <w:caps w:val="0"/>
          <w:color w:val="auto"/>
          <w:spacing w:val="0"/>
          <w:kern w:val="2"/>
          <w:sz w:val="32"/>
          <w:szCs w:val="32"/>
          <w:highlight w:val="none"/>
          <w:shd w:val="clear"/>
        </w:rPr>
        <w:t>推动主要农产品品质指标稳步提升，增强市场竞争力</w:t>
      </w:r>
      <w:r>
        <w:rPr>
          <w:rFonts w:hint="eastAsia" w:ascii="仿宋_GB2312" w:hAnsi="仿宋_GB2312" w:eastAsia="仿宋_GB2312" w:cs="仿宋_GB2312"/>
          <w:b w:val="0"/>
          <w:bCs w:val="0"/>
          <w:i w:val="0"/>
          <w:iCs w:val="0"/>
          <w:caps w:val="0"/>
          <w:color w:val="auto"/>
          <w:spacing w:val="0"/>
          <w:kern w:val="2"/>
          <w:sz w:val="32"/>
          <w:szCs w:val="32"/>
          <w:highlight w:val="none"/>
          <w:shd w:val="clear"/>
          <w:lang w:eastAsia="zh-CN"/>
        </w:rPr>
        <w:t>。推进畜禽粪污资源化利用，畜禽粪污综合利用率稳定在90%以上，加大对全区畜禽养殖、生鲜乳收购等环</w:t>
      </w:r>
      <w:r>
        <w:rPr>
          <w:rFonts w:hint="eastAsia"/>
          <w:color w:val="auto"/>
          <w:highlight w:val="none"/>
          <w:lang w:eastAsia="zh-CN"/>
        </w:rPr>
        <w:t>节风险抽检，样品合格率保持在98%以上</w:t>
      </w:r>
      <w:r>
        <w:rPr>
          <w:rFonts w:hint="eastAsia" w:ascii="仿宋_GB2312" w:hAnsi="仿宋_GB2312" w:eastAsia="仿宋_GB2312" w:cs="仿宋_GB2312"/>
          <w:b w:val="0"/>
          <w:bCs w:val="0"/>
          <w:i w:val="0"/>
          <w:iCs w:val="0"/>
          <w:caps w:val="0"/>
          <w:color w:val="auto"/>
          <w:spacing w:val="0"/>
          <w:kern w:val="2"/>
          <w:sz w:val="32"/>
          <w:szCs w:val="32"/>
          <w:highlight w:val="none"/>
          <w:shd w:val="clear"/>
          <w:lang w:eastAsia="zh-CN"/>
        </w:rPr>
        <w:t>。</w:t>
      </w:r>
    </w:p>
    <w:p w14:paraId="0173B3D5">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0" w:firstLineChars="0"/>
        <w:jc w:val="center"/>
        <w:textAlignment w:val="auto"/>
        <w:outlineLvl w:val="2"/>
        <w:rPr>
          <w:rFonts w:hint="default" w:ascii="楷体_GB2312" w:hAnsi="楷体_GB2312" w:eastAsia="楷体_GB2312" w:cs="楷体_GB2312"/>
          <w:b w:val="0"/>
          <w:bCs w:val="0"/>
          <w:color w:val="auto"/>
          <w:spacing w:val="0"/>
          <w:kern w:val="2"/>
          <w:sz w:val="28"/>
          <w:szCs w:val="28"/>
          <w:highlight w:val="none"/>
          <w:lang w:val="en-US" w:eastAsia="zh-CN"/>
        </w:rPr>
      </w:pPr>
      <w:bookmarkStart w:id="178" w:name="_Toc1341"/>
      <w:r>
        <w:rPr>
          <w:rFonts w:hint="eastAsia" w:ascii="楷体_GB2312" w:hAnsi="楷体_GB2312" w:eastAsia="楷体_GB2312" w:cs="楷体_GB2312"/>
          <w:b w:val="0"/>
          <w:bCs w:val="0"/>
          <w:color w:val="auto"/>
          <w:spacing w:val="0"/>
          <w:kern w:val="2"/>
          <w:sz w:val="28"/>
          <w:szCs w:val="28"/>
          <w:highlight w:val="none"/>
          <w:lang w:val="en-US" w:eastAsia="zh-CN"/>
        </w:rPr>
        <w:t>专栏6  现代农业重点项目</w:t>
      </w:r>
      <w:bookmarkEnd w:id="178"/>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42D2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Borders>
              <w:left w:val="nil"/>
              <w:right w:val="nil"/>
            </w:tcBorders>
          </w:tcPr>
          <w:p w14:paraId="456A4775">
            <w:pPr>
              <w:pStyle w:val="8"/>
              <w:keepNext w:val="0"/>
              <w:keepLines w:val="0"/>
              <w:pageBreakBefore w:val="0"/>
              <w:widowControl w:val="0"/>
              <w:shd w:val="clear"/>
              <w:kinsoku/>
              <w:wordWrap/>
              <w:overflowPunct w:val="0"/>
              <w:topLinePunct w:val="0"/>
              <w:autoSpaceDE/>
              <w:autoSpaceDN/>
              <w:bidi w:val="0"/>
              <w:adjustRightInd w:val="0"/>
              <w:snapToGrid w:val="0"/>
              <w:spacing w:after="0" w:line="480" w:lineRule="exact"/>
              <w:ind w:left="0" w:leftChars="0"/>
              <w:jc w:val="both"/>
              <w:textAlignment w:val="auto"/>
              <w:rPr>
                <w:rFonts w:hint="eastAsia" w:ascii="楷体_GB2312" w:hAnsi="楷体_GB2312" w:eastAsia="楷体_GB2312" w:cs="楷体_GB2312"/>
                <w:color w:val="auto"/>
                <w:kern w:val="2"/>
                <w:sz w:val="28"/>
                <w:szCs w:val="28"/>
                <w:highlight w:val="none"/>
                <w:lang w:val="en-US" w:eastAsia="zh-CN" w:bidi="ar-SA"/>
              </w:rPr>
            </w:pPr>
            <w:r>
              <w:rPr>
                <w:rFonts w:hint="eastAsia" w:ascii="楷体_GB2312" w:hAnsi="楷体_GB2312" w:eastAsia="楷体_GB2312" w:cs="楷体_GB2312"/>
                <w:b/>
                <w:bCs/>
                <w:color w:val="auto"/>
                <w:kern w:val="2"/>
                <w:sz w:val="28"/>
                <w:szCs w:val="28"/>
                <w:highlight w:val="none"/>
                <w:lang w:val="en-US" w:eastAsia="zh-CN" w:bidi="ar-SA"/>
              </w:rPr>
              <w:t>1.高标准农田建设项目</w:t>
            </w:r>
            <w:r>
              <w:rPr>
                <w:rFonts w:hint="eastAsia" w:ascii="楷体_GB2312" w:hAnsi="楷体_GB2312" w:eastAsia="楷体_GB2312" w:cs="楷体_GB2312"/>
                <w:color w:val="auto"/>
                <w:kern w:val="2"/>
                <w:sz w:val="28"/>
                <w:szCs w:val="28"/>
                <w:highlight w:val="none"/>
                <w:lang w:val="en-US" w:eastAsia="zh-CN" w:bidi="ar-SA"/>
              </w:rPr>
              <w:t>：21.6万亩高标准农田改造提升项目。</w:t>
            </w:r>
          </w:p>
          <w:p w14:paraId="0DDBB93D">
            <w:pPr>
              <w:pStyle w:val="8"/>
              <w:keepNext w:val="0"/>
              <w:keepLines w:val="0"/>
              <w:pageBreakBefore w:val="0"/>
              <w:widowControl w:val="0"/>
              <w:shd w:val="clear"/>
              <w:kinsoku/>
              <w:wordWrap/>
              <w:overflowPunct w:val="0"/>
              <w:topLinePunct w:val="0"/>
              <w:autoSpaceDE/>
              <w:autoSpaceDN/>
              <w:bidi w:val="0"/>
              <w:adjustRightInd w:val="0"/>
              <w:snapToGrid w:val="0"/>
              <w:spacing w:after="0" w:line="480" w:lineRule="exact"/>
              <w:ind w:left="0" w:leftChars="0"/>
              <w:jc w:val="both"/>
              <w:textAlignment w:val="auto"/>
              <w:rPr>
                <w:rFonts w:hint="eastAsia" w:ascii="楷体_GB2312" w:hAnsi="楷体_GB2312" w:eastAsia="楷体_GB2312" w:cs="楷体_GB2312"/>
                <w:color w:val="auto"/>
                <w:kern w:val="2"/>
                <w:sz w:val="28"/>
                <w:szCs w:val="28"/>
                <w:highlight w:val="none"/>
                <w:lang w:val="en-US" w:eastAsia="zh-CN" w:bidi="ar-SA"/>
              </w:rPr>
            </w:pPr>
            <w:r>
              <w:rPr>
                <w:rFonts w:hint="eastAsia" w:ascii="楷体_GB2312" w:hAnsi="楷体_GB2312" w:eastAsia="楷体_GB2312" w:cs="楷体_GB2312"/>
                <w:b/>
                <w:bCs/>
                <w:color w:val="auto"/>
                <w:kern w:val="2"/>
                <w:sz w:val="28"/>
                <w:szCs w:val="28"/>
                <w:highlight w:val="none"/>
                <w:lang w:val="en-US" w:eastAsia="zh-CN" w:bidi="ar-SA"/>
              </w:rPr>
              <w:t>2.全域土地综合整理项目</w:t>
            </w:r>
            <w:r>
              <w:rPr>
                <w:rFonts w:hint="eastAsia" w:ascii="楷体_GB2312" w:hAnsi="楷体_GB2312" w:eastAsia="楷体_GB2312" w:cs="楷体_GB2312"/>
                <w:color w:val="auto"/>
                <w:kern w:val="2"/>
                <w:sz w:val="28"/>
                <w:szCs w:val="28"/>
                <w:highlight w:val="none"/>
                <w:lang w:val="en-US" w:eastAsia="zh-CN" w:bidi="ar-SA"/>
              </w:rPr>
              <w:t>：曲堤街道全域土地综合整治项目、垛石街道全域土地综合整治项目、济阳街道全域土地综合整治项目、回河街道全域土地综合整治项目，逐步推进济北、新市、仁风的全域土地综合整治，力争实现全域整治全覆盖。</w:t>
            </w:r>
          </w:p>
          <w:p w14:paraId="362D787B">
            <w:pPr>
              <w:pStyle w:val="8"/>
              <w:keepNext w:val="0"/>
              <w:keepLines w:val="0"/>
              <w:pageBreakBefore w:val="0"/>
              <w:widowControl w:val="0"/>
              <w:shd w:val="clear"/>
              <w:kinsoku/>
              <w:wordWrap/>
              <w:overflowPunct w:val="0"/>
              <w:topLinePunct w:val="0"/>
              <w:autoSpaceDE/>
              <w:autoSpaceDN/>
              <w:bidi w:val="0"/>
              <w:adjustRightInd w:val="0"/>
              <w:snapToGrid w:val="0"/>
              <w:spacing w:after="0" w:line="480" w:lineRule="exact"/>
              <w:ind w:left="0" w:leftChars="0"/>
              <w:jc w:val="both"/>
              <w:textAlignment w:val="auto"/>
              <w:rPr>
                <w:rFonts w:hint="eastAsia" w:ascii="楷体_GB2312" w:hAnsi="楷体_GB2312" w:eastAsia="楷体_GB2312" w:cs="楷体_GB2312"/>
                <w:color w:val="auto"/>
                <w:kern w:val="2"/>
                <w:sz w:val="28"/>
                <w:szCs w:val="28"/>
                <w:highlight w:val="none"/>
                <w:lang w:val="en-US" w:eastAsia="zh-CN" w:bidi="ar-SA"/>
              </w:rPr>
            </w:pPr>
            <w:r>
              <w:rPr>
                <w:rFonts w:hint="eastAsia" w:ascii="楷体_GB2312" w:hAnsi="楷体_GB2312" w:eastAsia="楷体_GB2312" w:cs="楷体_GB2312"/>
                <w:b/>
                <w:bCs/>
                <w:color w:val="auto"/>
                <w:kern w:val="2"/>
                <w:sz w:val="28"/>
                <w:szCs w:val="28"/>
                <w:highlight w:val="none"/>
                <w:lang w:val="en-US" w:eastAsia="zh-CN" w:bidi="ar-SA"/>
              </w:rPr>
              <w:t>3.特色产业提升项目</w:t>
            </w:r>
            <w:r>
              <w:rPr>
                <w:rFonts w:hint="eastAsia" w:ascii="楷体_GB2312" w:hAnsi="楷体_GB2312" w:eastAsia="楷体_GB2312" w:cs="楷体_GB2312"/>
                <w:color w:val="auto"/>
                <w:kern w:val="2"/>
                <w:sz w:val="28"/>
                <w:szCs w:val="28"/>
                <w:highlight w:val="none"/>
                <w:lang w:val="en-US" w:eastAsia="zh-CN" w:bidi="ar-SA"/>
              </w:rPr>
              <w:t>：国家现代农业产业园项目、瓜菜大棚改造提升项目、番茄童话基地项目、智慧农业示范项目。</w:t>
            </w:r>
          </w:p>
          <w:p w14:paraId="663D47DD">
            <w:pPr>
              <w:pStyle w:val="8"/>
              <w:keepNext w:val="0"/>
              <w:keepLines w:val="0"/>
              <w:pageBreakBefore w:val="0"/>
              <w:widowControl w:val="0"/>
              <w:shd w:val="clear"/>
              <w:kinsoku/>
              <w:wordWrap/>
              <w:overflowPunct w:val="0"/>
              <w:topLinePunct w:val="0"/>
              <w:autoSpaceDE/>
              <w:autoSpaceDN/>
              <w:bidi w:val="0"/>
              <w:adjustRightInd w:val="0"/>
              <w:snapToGrid w:val="0"/>
              <w:spacing w:after="0" w:line="480" w:lineRule="exact"/>
              <w:ind w:left="0" w:leftChars="0"/>
              <w:jc w:val="both"/>
              <w:textAlignment w:val="auto"/>
              <w:rPr>
                <w:rFonts w:hint="eastAsia" w:ascii="楷体_GB2312" w:hAnsi="楷体_GB2312" w:eastAsia="楷体_GB2312" w:cs="楷体_GB2312"/>
                <w:color w:val="auto"/>
                <w:kern w:val="2"/>
                <w:sz w:val="28"/>
                <w:szCs w:val="28"/>
                <w:highlight w:val="none"/>
                <w:lang w:val="en-US" w:eastAsia="zh-CN" w:bidi="ar-SA"/>
              </w:rPr>
            </w:pPr>
            <w:r>
              <w:rPr>
                <w:rFonts w:hint="eastAsia" w:ascii="楷体_GB2312" w:hAnsi="楷体_GB2312" w:eastAsia="楷体_GB2312" w:cs="楷体_GB2312"/>
                <w:b/>
                <w:bCs/>
                <w:color w:val="auto"/>
                <w:kern w:val="2"/>
                <w:sz w:val="28"/>
                <w:szCs w:val="28"/>
                <w:highlight w:val="none"/>
                <w:lang w:val="en-US" w:eastAsia="zh-CN" w:bidi="ar-SA"/>
              </w:rPr>
              <w:t>4.畜牧养殖与渔业发展项目</w:t>
            </w:r>
            <w:r>
              <w:rPr>
                <w:rFonts w:hint="eastAsia" w:ascii="楷体_GB2312" w:hAnsi="楷体_GB2312" w:eastAsia="楷体_GB2312" w:cs="楷体_GB2312"/>
                <w:color w:val="auto"/>
                <w:kern w:val="2"/>
                <w:sz w:val="28"/>
                <w:szCs w:val="28"/>
                <w:highlight w:val="none"/>
                <w:lang w:val="en-US" w:eastAsia="zh-CN" w:bidi="ar-SA"/>
              </w:rPr>
              <w:t>：550万羽数智蛋鸡养殖项目；天下渔仓工厂化循环水养殖项目及配套设备、饲料和深加工项目；未来农业种养殖创新中心。</w:t>
            </w:r>
          </w:p>
          <w:p w14:paraId="2C701960">
            <w:pPr>
              <w:pStyle w:val="8"/>
              <w:keepNext w:val="0"/>
              <w:keepLines w:val="0"/>
              <w:pageBreakBefore w:val="0"/>
              <w:widowControl w:val="0"/>
              <w:shd w:val="clear"/>
              <w:kinsoku/>
              <w:wordWrap/>
              <w:overflowPunct w:val="0"/>
              <w:topLinePunct w:val="0"/>
              <w:autoSpaceDE/>
              <w:autoSpaceDN/>
              <w:bidi w:val="0"/>
              <w:adjustRightInd w:val="0"/>
              <w:snapToGrid w:val="0"/>
              <w:spacing w:after="0" w:line="480" w:lineRule="exact"/>
              <w:ind w:left="0" w:leftChars="0"/>
              <w:jc w:val="both"/>
              <w:textAlignment w:val="auto"/>
              <w:rPr>
                <w:rFonts w:hint="eastAsia"/>
                <w:color w:val="auto"/>
                <w:highlight w:val="none"/>
                <w:vertAlign w:val="baseline"/>
                <w:lang w:eastAsia="zh-CN"/>
              </w:rPr>
            </w:pPr>
            <w:r>
              <w:rPr>
                <w:rFonts w:hint="eastAsia" w:ascii="楷体_GB2312" w:hAnsi="楷体_GB2312" w:eastAsia="楷体_GB2312" w:cs="楷体_GB2312"/>
                <w:b/>
                <w:bCs/>
                <w:color w:val="auto"/>
                <w:kern w:val="2"/>
                <w:sz w:val="28"/>
                <w:szCs w:val="28"/>
                <w:highlight w:val="none"/>
                <w:lang w:val="en-US" w:eastAsia="zh-CN" w:bidi="ar-SA"/>
              </w:rPr>
              <w:t>5.农产品加工流通项目</w:t>
            </w:r>
            <w:r>
              <w:rPr>
                <w:rFonts w:hint="eastAsia" w:ascii="楷体_GB2312" w:hAnsi="楷体_GB2312" w:eastAsia="楷体_GB2312" w:cs="楷体_GB2312"/>
                <w:color w:val="auto"/>
                <w:kern w:val="2"/>
                <w:sz w:val="28"/>
                <w:szCs w:val="28"/>
                <w:highlight w:val="none"/>
                <w:lang w:val="en-US" w:eastAsia="zh-CN" w:bidi="ar-SA"/>
              </w:rPr>
              <w:t>：冷链储藏基地。</w:t>
            </w:r>
          </w:p>
        </w:tc>
      </w:tr>
    </w:tbl>
    <w:p w14:paraId="6882C61D">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179" w:name="_Toc23895"/>
      <w:bookmarkStart w:id="180" w:name="_Toc2489"/>
      <w:bookmarkStart w:id="181" w:name="_Toc26968"/>
      <w:bookmarkStart w:id="182" w:name="_Toc12045"/>
      <w:bookmarkStart w:id="183" w:name="_Toc934"/>
      <w:bookmarkStart w:id="184" w:name="_Toc864"/>
      <w:bookmarkStart w:id="185" w:name="_Toc11803"/>
      <w:bookmarkStart w:id="186" w:name="_Toc24149"/>
      <w:r>
        <w:rPr>
          <w:rFonts w:hint="eastAsia" w:ascii="黑体" w:hAnsi="黑体" w:eastAsia="黑体" w:cs="黑体"/>
          <w:color w:val="auto"/>
          <w:highlight w:val="none"/>
          <w:lang w:val="en-US" w:eastAsia="zh-CN"/>
        </w:rPr>
        <w:t>三、全面打造宜居宜业和美乡村</w:t>
      </w:r>
      <w:bookmarkEnd w:id="179"/>
      <w:bookmarkEnd w:id="180"/>
      <w:bookmarkEnd w:id="181"/>
      <w:bookmarkEnd w:id="182"/>
      <w:bookmarkEnd w:id="183"/>
      <w:bookmarkEnd w:id="184"/>
      <w:bookmarkEnd w:id="185"/>
      <w:bookmarkEnd w:id="186"/>
    </w:p>
    <w:p w14:paraId="7FD29ACB">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color w:val="auto"/>
          <w:kern w:val="2"/>
          <w:szCs w:val="32"/>
          <w:highlight w:val="none"/>
        </w:rPr>
        <w:t>以满足群众</w:t>
      </w:r>
      <w:r>
        <w:rPr>
          <w:rFonts w:hint="eastAsia"/>
          <w:color w:val="auto"/>
          <w:kern w:val="2"/>
          <w:szCs w:val="32"/>
          <w:highlight w:val="none"/>
          <w:lang w:eastAsia="zh-CN"/>
        </w:rPr>
        <w:t>美好生活需要</w:t>
      </w:r>
      <w:r>
        <w:rPr>
          <w:rFonts w:hint="eastAsia"/>
          <w:color w:val="auto"/>
          <w:kern w:val="2"/>
          <w:szCs w:val="32"/>
          <w:highlight w:val="none"/>
        </w:rPr>
        <w:t>为目标</w:t>
      </w:r>
      <w:r>
        <w:rPr>
          <w:rFonts w:hint="eastAsia"/>
          <w:color w:val="auto"/>
          <w:kern w:val="2"/>
          <w:szCs w:val="32"/>
          <w:highlight w:val="none"/>
          <w:lang w:eastAsia="zh-CN"/>
        </w:rPr>
        <w:t>，</w:t>
      </w:r>
      <w:r>
        <w:rPr>
          <w:rFonts w:hint="eastAsia"/>
          <w:color w:val="auto"/>
          <w:kern w:val="2"/>
          <w:szCs w:val="32"/>
          <w:highlight w:val="none"/>
        </w:rPr>
        <w:t>通过完善农业农村基础设施、提升乡村治理水平、健全强农惠农富农制度，聚焦群众急难愁盼，激活乡村发展内生动力，培育文明乡风，推动乡村实现宜居宜业、和美兴盛，扎实推进共同富裕取得实质性进展。</w:t>
      </w:r>
    </w:p>
    <w:p w14:paraId="1D9BBA6E">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eastAsia="zh-CN"/>
        </w:rPr>
      </w:pPr>
      <w:r>
        <w:rPr>
          <w:rFonts w:hint="eastAsia" w:ascii="楷体_GB2312" w:hAnsi="楷体_GB2312" w:eastAsia="楷体_GB2312" w:cs="楷体_GB2312"/>
          <w:b w:val="0"/>
          <w:bCs w:val="0"/>
          <w:color w:val="auto"/>
          <w:spacing w:val="0"/>
          <w:sz w:val="32"/>
          <w:szCs w:val="32"/>
          <w:highlight w:val="none"/>
          <w:lang w:val="en-US" w:eastAsia="zh-CN"/>
        </w:rPr>
        <w:t>（一）推进和美乡村示范片区建设。</w:t>
      </w:r>
      <w:r>
        <w:rPr>
          <w:rFonts w:hint="eastAsia"/>
          <w:color w:val="auto"/>
          <w:kern w:val="2"/>
          <w:szCs w:val="32"/>
          <w:highlight w:val="none"/>
          <w:lang w:val="en-US" w:eastAsia="zh-CN"/>
        </w:rPr>
        <w:t>按照片区化推进乡村振兴工作思路，坚持“由表及里、内外结合、连片打造”，</w:t>
      </w:r>
      <w:r>
        <w:rPr>
          <w:rFonts w:hint="eastAsia" w:ascii="仿宋_GB2312" w:hAnsi="仿宋_GB2312" w:eastAsia="仿宋_GB2312" w:cs="仿宋_GB2312"/>
          <w:color w:val="auto"/>
          <w:sz w:val="32"/>
          <w:szCs w:val="32"/>
          <w:highlight w:val="none"/>
        </w:rPr>
        <w:t>在</w:t>
      </w:r>
      <w:r>
        <w:rPr>
          <w:rFonts w:hint="eastAsia" w:ascii="仿宋_GB2312" w:hAnsi="仿宋_GB2312" w:eastAsia="仿宋_GB2312" w:cs="仿宋_GB2312"/>
          <w:color w:val="auto"/>
          <w:sz w:val="32"/>
          <w:szCs w:val="32"/>
          <w:highlight w:val="none"/>
          <w:lang w:val="en-US" w:eastAsia="zh-CN"/>
        </w:rPr>
        <w:t>和美乡村示范片区</w:t>
      </w:r>
      <w:r>
        <w:rPr>
          <w:rFonts w:hint="eastAsia" w:ascii="仿宋_GB2312" w:hAnsi="仿宋_GB2312" w:eastAsia="仿宋_GB2312" w:cs="仿宋_GB2312"/>
          <w:color w:val="auto"/>
          <w:sz w:val="32"/>
          <w:szCs w:val="32"/>
          <w:highlight w:val="none"/>
        </w:rPr>
        <w:t>建设和打造上做文章，</w:t>
      </w:r>
      <w:r>
        <w:rPr>
          <w:rFonts w:hint="eastAsia" w:cs="仿宋_GB2312"/>
          <w:color w:val="auto"/>
          <w:sz w:val="32"/>
          <w:szCs w:val="32"/>
          <w:highlight w:val="none"/>
          <w:lang w:val="en-US" w:eastAsia="zh-CN"/>
        </w:rPr>
        <w:t>力争每年高标准</w:t>
      </w:r>
      <w:r>
        <w:rPr>
          <w:rFonts w:hint="eastAsia" w:ascii="仿宋_GB2312" w:hAnsi="仿宋_GB2312" w:eastAsia="仿宋_GB2312" w:cs="仿宋_GB2312"/>
          <w:color w:val="auto"/>
          <w:sz w:val="32"/>
          <w:szCs w:val="32"/>
          <w:highlight w:val="none"/>
          <w:lang w:val="en-US" w:eastAsia="zh-CN"/>
        </w:rPr>
        <w:t>建设一个</w:t>
      </w:r>
      <w:r>
        <w:rPr>
          <w:rFonts w:hint="eastAsia" w:ascii="仿宋_GB2312" w:hAnsi="仿宋_GB2312" w:eastAsia="仿宋_GB2312" w:cs="仿宋_GB2312"/>
          <w:color w:val="auto"/>
          <w:sz w:val="32"/>
          <w:szCs w:val="32"/>
          <w:highlight w:val="none"/>
        </w:rPr>
        <w:t>“泉韵乡居”片区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积极争取省级乡村振兴齐鲁样板示范片区、省级和美乡村等项目，推进全域土地综合整治项目建设，以片区建设</w:t>
      </w:r>
      <w:r>
        <w:rPr>
          <w:rFonts w:hint="eastAsia" w:ascii="仿宋_GB2312" w:hAnsi="仿宋_GB2312" w:eastAsia="仿宋_GB2312" w:cs="仿宋_GB2312"/>
          <w:color w:val="auto"/>
          <w:sz w:val="32"/>
          <w:szCs w:val="32"/>
          <w:highlight w:val="none"/>
        </w:rPr>
        <w:t>推动乡村基础设施建设从“短期整治”向“长效治理”跃升，为全域可持续发展筑牢坚实根基。持续聚焦群众急难愁盼问题，高标准推进“四好农村路”建设，织密农村交通网络。着力提升农村供水保障能力与电网支撑水平，确保群众生产生活用水用电稳定可靠。</w:t>
      </w:r>
      <w:r>
        <w:rPr>
          <w:rFonts w:hint="eastAsia" w:ascii="仿宋_GB2312" w:hAnsi="仿宋_GB2312" w:eastAsia="仿宋_GB2312" w:cs="仿宋_GB2312"/>
          <w:i w:val="0"/>
          <w:iCs w:val="0"/>
          <w:caps w:val="0"/>
          <w:color w:val="auto"/>
          <w:spacing w:val="0"/>
          <w:sz w:val="32"/>
          <w:szCs w:val="32"/>
          <w:highlight w:val="none"/>
          <w:shd w:val="clear" w:fill="FFFFFF"/>
          <w:vertAlign w:val="baseline"/>
          <w:lang w:val="en-US" w:eastAsia="zh-CN"/>
        </w:rPr>
        <w:t>建立</w:t>
      </w:r>
      <w:r>
        <w:rPr>
          <w:rFonts w:hint="eastAsia" w:ascii="仿宋_GB2312" w:hAnsi="仿宋_GB2312" w:eastAsia="仿宋_GB2312" w:cs="仿宋_GB2312"/>
          <w:color w:val="auto"/>
          <w:sz w:val="32"/>
          <w:szCs w:val="32"/>
          <w:highlight w:val="none"/>
          <w:lang w:val="en-US" w:eastAsia="zh-CN"/>
        </w:rPr>
        <w:t>人居环境综合整治长效机制，常态化</w:t>
      </w:r>
      <w:r>
        <w:rPr>
          <w:rFonts w:hint="eastAsia" w:ascii="仿宋_GB2312" w:hAnsi="仿宋_GB2312" w:eastAsia="仿宋_GB2312" w:cs="仿宋_GB2312"/>
          <w:i w:val="0"/>
          <w:iCs w:val="0"/>
          <w:caps w:val="0"/>
          <w:color w:val="auto"/>
          <w:spacing w:val="0"/>
          <w:sz w:val="32"/>
          <w:szCs w:val="32"/>
          <w:highlight w:val="none"/>
          <w:shd w:val="clear" w:fill="FFFFFF"/>
          <w:vertAlign w:val="baseline"/>
          <w:lang w:val="en-US" w:eastAsia="zh-CN"/>
        </w:rPr>
        <w:t>开展“村庄清洁”行动，完善改厕后续管护，</w:t>
      </w:r>
      <w:r>
        <w:rPr>
          <w:rFonts w:hint="eastAsia" w:ascii="仿宋_GB2312" w:hAnsi="仿宋_GB2312" w:eastAsia="仿宋_GB2312" w:cs="仿宋_GB2312"/>
          <w:color w:val="auto"/>
          <w:sz w:val="32"/>
          <w:szCs w:val="32"/>
          <w:highlight w:val="none"/>
        </w:rPr>
        <w:t>提高农村生活垃圾机械化收运工作质量。健全覆盖城乡的医疗卫生服务体系，扎实推进紧密型县域医共体建设，不断完善乡村基础设施网络，以基础设施的提档升级为农业农村高质量发展和农民生活品质改善提供坚实保障。</w:t>
      </w:r>
    </w:p>
    <w:p w14:paraId="5F2D0188">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eastAsia="zh-CN"/>
        </w:rPr>
      </w:pPr>
      <w:r>
        <w:rPr>
          <w:rFonts w:hint="eastAsia" w:ascii="楷体_GB2312" w:hAnsi="楷体_GB2312" w:eastAsia="楷体_GB2312" w:cs="楷体_GB2312"/>
          <w:b w:val="0"/>
          <w:bCs w:val="0"/>
          <w:color w:val="auto"/>
          <w:spacing w:val="0"/>
          <w:sz w:val="32"/>
          <w:szCs w:val="32"/>
          <w:highlight w:val="none"/>
          <w:lang w:val="en-US" w:eastAsia="zh-CN"/>
        </w:rPr>
        <w:t>（二）持续提升乡村治理水平。</w:t>
      </w:r>
      <w:r>
        <w:rPr>
          <w:rFonts w:hint="eastAsia"/>
          <w:color w:val="auto"/>
          <w:highlight w:val="none"/>
          <w:lang w:val="en-US" w:eastAsia="zh-CN"/>
        </w:rPr>
        <w:t>进一步提高乡村规划建设水平，</w:t>
      </w:r>
      <w:r>
        <w:rPr>
          <w:rFonts w:hint="eastAsia"/>
          <w:color w:val="auto"/>
          <w:kern w:val="2"/>
          <w:szCs w:val="32"/>
          <w:highlight w:val="none"/>
          <w:lang w:eastAsia="zh-CN"/>
        </w:rPr>
        <w:t>根据“四化导向、六好场景、双联带动”片区创建规范，以街道（镇）为单位做好村和片区规划，</w:t>
      </w:r>
      <w:r>
        <w:rPr>
          <w:rFonts w:hint="eastAsia"/>
          <w:color w:val="auto"/>
          <w:highlight w:val="none"/>
          <w:lang w:val="en-US" w:eastAsia="zh-CN"/>
        </w:rPr>
        <w:t>引导“小散弱”村庄逐步向中心村集聚发展</w:t>
      </w:r>
      <w:r>
        <w:rPr>
          <w:rFonts w:hint="eastAsia"/>
          <w:color w:val="auto"/>
          <w:kern w:val="2"/>
          <w:szCs w:val="32"/>
          <w:highlight w:val="none"/>
          <w:lang w:eastAsia="zh-CN"/>
        </w:rPr>
        <w:t>，</w:t>
      </w:r>
      <w:r>
        <w:rPr>
          <w:rFonts w:hint="eastAsia"/>
          <w:color w:val="auto"/>
          <w:kern w:val="2"/>
          <w:szCs w:val="32"/>
          <w:highlight w:val="none"/>
          <w:lang w:val="en-US" w:eastAsia="zh-CN"/>
        </w:rPr>
        <w:t>实现</w:t>
      </w:r>
      <w:r>
        <w:rPr>
          <w:rFonts w:hint="eastAsia"/>
          <w:color w:val="auto"/>
          <w:kern w:val="2"/>
          <w:szCs w:val="32"/>
          <w:highlight w:val="none"/>
          <w:lang w:eastAsia="zh-CN"/>
        </w:rPr>
        <w:t>党建联合、资源整合、产业融合、人才聚合。兜牢民生底线，切实保障困难群众的基本生活需求，发展村级互助式养老服务。稳妥有序推进村党组织“跨村联建”，推进区域内村庄资源整合、产业联动。完善基层监督体系，严格村干部特别是“一肩挑”人员管理监督，规范村居“小微权力”运行。推进法治乡村和平安乡村建设，实施农村“法治带头人”“法律明白人”培育工程，践行社会主义核心价值观，培育文明乡风、良好家风、淳朴民风。</w:t>
      </w:r>
    </w:p>
    <w:p w14:paraId="15858A29">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eastAsia="zh-CN"/>
        </w:rPr>
      </w:pPr>
      <w:r>
        <w:rPr>
          <w:rFonts w:hint="eastAsia" w:ascii="楷体_GB2312" w:hAnsi="楷体_GB2312" w:eastAsia="楷体_GB2312" w:cs="楷体_GB2312"/>
          <w:b w:val="0"/>
          <w:bCs w:val="0"/>
          <w:color w:val="auto"/>
          <w:spacing w:val="0"/>
          <w:sz w:val="32"/>
          <w:szCs w:val="32"/>
          <w:highlight w:val="none"/>
          <w:lang w:val="en-US" w:eastAsia="zh-CN"/>
        </w:rPr>
        <w:t>（三）完善强农惠农富农支持政策。</w:t>
      </w:r>
      <w:r>
        <w:rPr>
          <w:rFonts w:hint="eastAsia"/>
          <w:color w:val="auto"/>
          <w:kern w:val="2"/>
          <w:szCs w:val="32"/>
          <w:highlight w:val="none"/>
          <w:lang w:eastAsia="zh-CN"/>
        </w:rPr>
        <w:t>多措并举拓宽农民增收渠道，全面落实农民工稳岗就业各项政策及权益保障长效机制。立足城乡融合发展新格局，大力支持发展就业容量大、带富能力强的富民产业，持续推进村党组织领办合作社、共富公司规范提质建设，积极引导各类优质资源要素、工商资本等向农村地区倾斜汇聚，不断激活乡村发展内生动力。聚焦提升劳务经济质效，加强特色劳务品牌培育与推广，以更高标准推动农民工工资保障制度全面覆盖、精准落地、有效运转，常态化开展治理欠薪专项行动，切实维护劳动者合法权益。深入推动以工代赈提标扩面增效，科学统筹用好城乡公益性岗位资源，着力提高农村低收入群体收入水平，稳步缩小城乡发展差距，扎实推进共同富裕取得实质性进展。</w:t>
      </w:r>
    </w:p>
    <w:p w14:paraId="432ACD30">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187" w:name="_Toc6959"/>
      <w:bookmarkStart w:id="188" w:name="_Toc8962"/>
      <w:bookmarkStart w:id="189" w:name="_Toc28315"/>
      <w:bookmarkStart w:id="190" w:name="_Toc3954"/>
      <w:bookmarkStart w:id="191" w:name="_Toc30973"/>
      <w:bookmarkStart w:id="192" w:name="_Toc22915"/>
      <w:bookmarkStart w:id="193" w:name="_Toc21025"/>
      <w:bookmarkStart w:id="194" w:name="_Toc2038"/>
      <w:r>
        <w:rPr>
          <w:rFonts w:hint="eastAsia" w:ascii="黑体" w:hAnsi="黑体" w:eastAsia="黑体" w:cs="黑体"/>
          <w:color w:val="auto"/>
          <w:highlight w:val="none"/>
          <w:lang w:val="en-US" w:eastAsia="zh-CN"/>
        </w:rPr>
        <w:t>四、促进城乡融合发展</w:t>
      </w:r>
      <w:bookmarkEnd w:id="187"/>
      <w:bookmarkEnd w:id="188"/>
      <w:bookmarkEnd w:id="189"/>
      <w:bookmarkEnd w:id="190"/>
      <w:bookmarkEnd w:id="191"/>
      <w:bookmarkEnd w:id="192"/>
      <w:bookmarkEnd w:id="193"/>
      <w:bookmarkEnd w:id="194"/>
    </w:p>
    <w:p w14:paraId="560AF9D0">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cs="仿宋_GB2312"/>
          <w:color w:val="auto"/>
          <w:kern w:val="2"/>
          <w:szCs w:val="32"/>
          <w:highlight w:val="none"/>
        </w:rPr>
      </w:pPr>
      <w:r>
        <w:rPr>
          <w:rFonts w:hint="default" w:ascii="仿宋_GB2312" w:hAnsi="仿宋_GB2312" w:eastAsia="仿宋_GB2312" w:cs="仿宋_GB2312"/>
          <w:color w:val="auto"/>
          <w:sz w:val="32"/>
          <w:szCs w:val="32"/>
          <w:highlight w:val="none"/>
          <w:lang w:val="en-US" w:eastAsia="zh-CN"/>
        </w:rPr>
        <w:t>坚持城乡</w:t>
      </w:r>
      <w:r>
        <w:rPr>
          <w:rFonts w:hint="eastAsia"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一盘棋</w:t>
      </w:r>
      <w:r>
        <w:rPr>
          <w:rFonts w:hint="eastAsia"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理念，深化农业农村改革，</w:t>
      </w:r>
      <w:r>
        <w:rPr>
          <w:rFonts w:hint="default" w:cs="仿宋_GB2312"/>
          <w:color w:val="auto"/>
          <w:kern w:val="2"/>
          <w:szCs w:val="32"/>
          <w:highlight w:val="none"/>
        </w:rPr>
        <w:t>加快城乡要素平等交换、双向流动，推动城乡公共服务普惠共享，持续缩小城乡发展差距，形成工农互促、城乡互补、协同共荣的发展新格局。</w:t>
      </w:r>
    </w:p>
    <w:p w14:paraId="6A0E21D5">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eastAsia="仿宋_GB2312" w:cs="仿宋_GB2312"/>
          <w:color w:val="auto"/>
          <w:kern w:val="2"/>
          <w:szCs w:val="32"/>
          <w:highlight w:val="none"/>
          <w:lang w:val="en-US" w:eastAsia="zh-CN"/>
        </w:rPr>
      </w:pPr>
      <w:r>
        <w:rPr>
          <w:rFonts w:hint="default" w:ascii="楷体_GB2312" w:hAnsi="楷体_GB2312" w:eastAsia="楷体_GB2312" w:cs="楷体_GB2312"/>
          <w:b w:val="0"/>
          <w:bCs w:val="0"/>
          <w:color w:val="auto"/>
          <w:spacing w:val="0"/>
          <w:kern w:val="0"/>
          <w:sz w:val="32"/>
          <w:szCs w:val="32"/>
          <w:highlight w:val="none"/>
          <w:lang w:val="en-US" w:eastAsia="zh-CN"/>
        </w:rPr>
        <w:t>（一）深化农业农村改革。</w:t>
      </w:r>
      <w:r>
        <w:rPr>
          <w:rFonts w:hint="default" w:cs="仿宋_GB2312"/>
          <w:color w:val="auto"/>
          <w:kern w:val="2"/>
          <w:szCs w:val="32"/>
          <w:highlight w:val="none"/>
        </w:rPr>
        <w:t>以激活要素、释放红利、促进共富为核心，扎实推进农村重点领域和关键环节改革。巩固完善农村基本经营制度，落实第二轮土地承包到期后再延长30年政策，深化承包地所有权、承包权、经营权</w:t>
      </w:r>
      <w:r>
        <w:rPr>
          <w:rFonts w:hint="eastAsia" w:cs="仿宋_GB2312"/>
          <w:color w:val="auto"/>
          <w:kern w:val="2"/>
          <w:szCs w:val="32"/>
          <w:highlight w:val="none"/>
          <w:lang w:eastAsia="zh-CN"/>
        </w:rPr>
        <w:t>“三权”分置</w:t>
      </w:r>
      <w:r>
        <w:rPr>
          <w:rFonts w:hint="default" w:cs="仿宋_GB2312"/>
          <w:color w:val="auto"/>
          <w:kern w:val="2"/>
          <w:szCs w:val="32"/>
          <w:highlight w:val="none"/>
        </w:rPr>
        <w:t>改革，发展多种形式农业适度规模经营。深化农村“三变”改革，有效激发农村资源资产活力。依法切实维护进城落户农民的土地承包权、宅基地使用权、集体收益分配权。加强农村产权交易市场建设与规范运营，促进农村要素资源高效配置。强化农村集体资金、资产、资源规范化、信息化管理，健全监管体系，保障集体资产安全，发展壮大新型农村集体经济。</w:t>
      </w:r>
    </w:p>
    <w:p w14:paraId="667429D3">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cs="仿宋_GB2312"/>
          <w:color w:val="auto"/>
          <w:kern w:val="2"/>
          <w:szCs w:val="32"/>
          <w:highlight w:val="none"/>
        </w:rPr>
      </w:pPr>
      <w:r>
        <w:rPr>
          <w:rFonts w:hint="default" w:ascii="楷体_GB2312" w:hAnsi="楷体_GB2312" w:eastAsia="楷体_GB2312" w:cs="楷体_GB2312"/>
          <w:b w:val="0"/>
          <w:bCs w:val="0"/>
          <w:color w:val="auto"/>
          <w:spacing w:val="0"/>
          <w:kern w:val="0"/>
          <w:sz w:val="32"/>
          <w:szCs w:val="32"/>
          <w:highlight w:val="none"/>
          <w:lang w:val="en-US" w:eastAsia="zh-CN"/>
        </w:rPr>
        <w:t>（二）加快城乡要素双向合理流动。</w:t>
      </w:r>
      <w:r>
        <w:rPr>
          <w:rFonts w:hint="default" w:cs="仿宋_GB2312"/>
          <w:color w:val="auto"/>
          <w:kern w:val="2"/>
          <w:szCs w:val="32"/>
          <w:highlight w:val="none"/>
        </w:rPr>
        <w:t>建立健全有利于城乡要素自由流动、平等交换的政策体系和市场环境。强化乡村振兴投入保障，稳步提高土地出让收益用于农业农村的比例，探索以市场化方式引导更多金融和社会资本投入乡村振兴领域。保障乡村产业发展用地，严格落实农村产业融合发展和设施农业用地政策。促进人才要素下乡，深入实施乡村振兴人才支持计划，健全人才引进、培育、服务和保障机制，推动教育、卫生、科技、经营管理等专业人才服务乡村</w:t>
      </w:r>
      <w:r>
        <w:rPr>
          <w:rFonts w:hint="eastAsia" w:cs="仿宋_GB2312"/>
          <w:color w:val="auto"/>
          <w:kern w:val="2"/>
          <w:szCs w:val="32"/>
          <w:highlight w:val="none"/>
          <w:lang w:eastAsia="zh-CN"/>
        </w:rPr>
        <w:t>。</w:t>
      </w:r>
      <w:r>
        <w:rPr>
          <w:rFonts w:hint="default" w:cs="仿宋_GB2312"/>
          <w:color w:val="auto"/>
          <w:kern w:val="2"/>
          <w:szCs w:val="32"/>
          <w:highlight w:val="none"/>
        </w:rPr>
        <w:t>推进农业转移人口市民化，健全相关配套政策，依法保障进城落户农业转移人口的农村权益，推动其在社会保险、住房保障、随迁子女义务教育等方面享有与迁入地户籍人口同等的权利和便利。</w:t>
      </w:r>
    </w:p>
    <w:p w14:paraId="445BBF07">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cs="仿宋_GB2312"/>
          <w:color w:val="auto"/>
          <w:kern w:val="2"/>
          <w:szCs w:val="32"/>
          <w:highlight w:val="none"/>
        </w:rPr>
      </w:pPr>
      <w:r>
        <w:rPr>
          <w:rFonts w:hint="default" w:ascii="楷体_GB2312" w:hAnsi="楷体_GB2312" w:eastAsia="楷体_GB2312" w:cs="楷体_GB2312"/>
          <w:b w:val="0"/>
          <w:bCs w:val="0"/>
          <w:color w:val="auto"/>
          <w:spacing w:val="0"/>
          <w:kern w:val="0"/>
          <w:sz w:val="32"/>
          <w:szCs w:val="32"/>
          <w:highlight w:val="none"/>
          <w:lang w:val="en-US" w:eastAsia="zh-CN"/>
        </w:rPr>
        <w:t>（三）提升农村基本公共服务水平。</w:t>
      </w:r>
      <w:r>
        <w:rPr>
          <w:rFonts w:hint="default" w:cs="仿宋_GB2312"/>
          <w:color w:val="auto"/>
          <w:kern w:val="2"/>
          <w:szCs w:val="32"/>
          <w:highlight w:val="none"/>
        </w:rPr>
        <w:t>完善城乡公共服务协同推进机制，推动公共资源向农村倾斜、社会事业向农村覆盖。促进城乡教育优质均衡，巩固城乡义务教育一体化发展成果，稳妥有序推进农村小规模学校（教学点）布局优化与整合，保障适龄儿童就近入学</w:t>
      </w:r>
      <w:r>
        <w:rPr>
          <w:rFonts w:hint="eastAsia" w:cs="仿宋_GB2312"/>
          <w:color w:val="auto"/>
          <w:kern w:val="2"/>
          <w:szCs w:val="32"/>
          <w:highlight w:val="none"/>
          <w:lang w:eastAsia="zh-CN"/>
        </w:rPr>
        <w:t>，</w:t>
      </w:r>
      <w:r>
        <w:rPr>
          <w:rFonts w:hint="default" w:cs="仿宋_GB2312"/>
          <w:color w:val="auto"/>
          <w:kern w:val="2"/>
          <w:szCs w:val="32"/>
          <w:highlight w:val="none"/>
        </w:rPr>
        <w:t>完善集团化办学、学区制管理等机制，持续推动优秀教师资源向乡村学校流动，加强农村学校标准化建设。健全乡村医疗卫生服务体系，巩固紧密型县域医共体建设成效，推动优质医疗资源下沉，加强区、</w:t>
      </w:r>
      <w:r>
        <w:rPr>
          <w:rFonts w:hint="eastAsia" w:cs="仿宋_GB2312"/>
          <w:color w:val="auto"/>
          <w:kern w:val="2"/>
          <w:szCs w:val="32"/>
          <w:highlight w:val="none"/>
          <w:lang w:eastAsia="zh-CN"/>
        </w:rPr>
        <w:t>街道（镇）</w:t>
      </w:r>
      <w:r>
        <w:rPr>
          <w:rFonts w:hint="default" w:cs="仿宋_GB2312"/>
          <w:color w:val="auto"/>
          <w:kern w:val="2"/>
          <w:szCs w:val="32"/>
          <w:highlight w:val="none"/>
        </w:rPr>
        <w:t>、村三级医疗卫生机构传染病防控和应急处置能力建设，完善农村急救转运网络。补齐农村“一老一小”服务短板，鼓励发展村级互助性养老和农村普惠托育服务，统筹完善城乡社会救助体系。提升乡村公共服务综合效能，推动乡村公共文化体育设施提档升级，健全</w:t>
      </w:r>
      <w:r>
        <w:rPr>
          <w:rFonts w:hint="eastAsia" w:cs="仿宋_GB2312"/>
          <w:color w:val="auto"/>
          <w:kern w:val="2"/>
          <w:szCs w:val="32"/>
          <w:highlight w:val="none"/>
          <w:lang w:eastAsia="zh-CN"/>
        </w:rPr>
        <w:t>街道（镇）、</w:t>
      </w:r>
      <w:r>
        <w:rPr>
          <w:rFonts w:hint="default" w:cs="仿宋_GB2312"/>
          <w:color w:val="auto"/>
          <w:kern w:val="2"/>
          <w:szCs w:val="32"/>
          <w:highlight w:val="none"/>
        </w:rPr>
        <w:t>村“一站式”便民服务体系，丰富服务供给，系统提升乡村社会保障和公共服务水平。</w:t>
      </w:r>
    </w:p>
    <w:p w14:paraId="375EB881">
      <w:pPr>
        <w:rPr>
          <w:rFonts w:hint="default" w:cs="仿宋_GB2312"/>
          <w:color w:val="auto"/>
          <w:kern w:val="2"/>
          <w:szCs w:val="32"/>
          <w:highlight w:val="none"/>
        </w:rPr>
      </w:pPr>
      <w:r>
        <w:rPr>
          <w:rFonts w:hint="default" w:cs="仿宋_GB2312"/>
          <w:color w:val="auto"/>
          <w:kern w:val="2"/>
          <w:szCs w:val="32"/>
          <w:highlight w:val="none"/>
        </w:rPr>
        <w:br w:type="page"/>
      </w:r>
    </w:p>
    <w:p w14:paraId="011EB37E">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cs="仿宋_GB2312"/>
          <w:color w:val="auto"/>
          <w:kern w:val="2"/>
          <w:szCs w:val="32"/>
          <w:highlight w:val="none"/>
          <w:lang w:val="en-US" w:eastAsia="zh-CN"/>
        </w:rPr>
      </w:pPr>
    </w:p>
    <w:bookmarkEnd w:id="111"/>
    <w:bookmarkEnd w:id="150"/>
    <w:bookmarkEnd w:id="151"/>
    <w:bookmarkEnd w:id="152"/>
    <w:bookmarkEnd w:id="153"/>
    <w:bookmarkEnd w:id="154"/>
    <w:p w14:paraId="29B8B910">
      <w:pPr>
        <w:keepNext w:val="0"/>
        <w:keepLines w:val="0"/>
        <w:pageBreakBefore w:val="0"/>
        <w:widowControl w:val="0"/>
        <w:suppressLineNumbers w:val="0"/>
        <w:shd w:val="clear"/>
        <w:kinsoku/>
        <w:wordWrap/>
        <w:overflowPunct w:val="0"/>
        <w:topLinePunct w:val="0"/>
        <w:autoSpaceDE/>
        <w:autoSpaceDN/>
        <w:bidi w:val="0"/>
        <w:adjustRightInd/>
        <w:snapToGrid/>
        <w:spacing w:before="157" w:beforeLines="50" w:after="157" w:afterLines="50" w:afterAutospacing="0" w:line="600" w:lineRule="exact"/>
        <w:ind w:left="0" w:leftChars="0" w:firstLine="0" w:firstLineChars="0"/>
        <w:jc w:val="center"/>
        <w:textAlignment w:val="auto"/>
        <w:outlineLvl w:val="0"/>
        <w:rPr>
          <w:rFonts w:hint="eastAsia" w:ascii="方正小标宋简体" w:hAnsi="方正小标宋简体" w:eastAsia="方正小标宋简体" w:cs="方正小标宋简体"/>
          <w:color w:val="auto"/>
          <w:spacing w:val="0"/>
          <w:kern w:val="0"/>
          <w:sz w:val="32"/>
          <w:szCs w:val="32"/>
          <w:highlight w:val="none"/>
          <w:lang w:val="en-US" w:eastAsia="zh-CN" w:bidi="ar"/>
        </w:rPr>
      </w:pPr>
      <w:bookmarkStart w:id="195" w:name="_Toc10955"/>
      <w:bookmarkStart w:id="196" w:name="_Toc21576"/>
      <w:bookmarkStart w:id="197" w:name="_Toc15247"/>
      <w:bookmarkStart w:id="198" w:name="_Toc29181"/>
      <w:bookmarkStart w:id="199" w:name="_Toc4535"/>
      <w:bookmarkStart w:id="200" w:name="_Toc7982"/>
      <w:bookmarkStart w:id="201" w:name="_Toc23463"/>
      <w:bookmarkStart w:id="202" w:name="_Toc27798"/>
      <w:r>
        <w:rPr>
          <w:rFonts w:hint="eastAsia" w:ascii="方正小标宋简体" w:hAnsi="方正小标宋简体" w:eastAsia="方正小标宋简体" w:cs="方正小标宋简体"/>
          <w:color w:val="auto"/>
          <w:spacing w:val="0"/>
          <w:kern w:val="0"/>
          <w:sz w:val="32"/>
          <w:szCs w:val="32"/>
          <w:highlight w:val="none"/>
          <w:lang w:val="en-US" w:eastAsia="zh-CN" w:bidi="ar"/>
        </w:rPr>
        <w:t>第五章  完善基础设施网络，塑强高品质城市支撑体系</w:t>
      </w:r>
      <w:bookmarkEnd w:id="195"/>
      <w:bookmarkEnd w:id="196"/>
    </w:p>
    <w:p w14:paraId="21FA3694">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 w:val="30"/>
          <w:szCs w:val="30"/>
          <w:highlight w:val="none"/>
          <w:lang w:val="en-US" w:eastAsia="zh-CN"/>
        </w:rPr>
      </w:pPr>
      <w:bookmarkStart w:id="203" w:name="_Toc22938"/>
      <w:r>
        <w:rPr>
          <w:rFonts w:hint="eastAsia"/>
          <w:color w:val="auto"/>
          <w:kern w:val="2"/>
          <w:sz w:val="32"/>
          <w:szCs w:val="32"/>
          <w:highlight w:val="none"/>
          <w:lang w:val="en-US" w:eastAsia="zh-CN"/>
        </w:rPr>
        <w:t>加快实施一批战略性、引领性、功能性重大基础设施工程，完善全区综合交通体系，优化能源供给结构与输配储运体系，统筹优化水资源配置、防洪减灾和水生态保护，构建功能完备、运行高效、生态和谐的现代化基础设施网络。</w:t>
      </w:r>
    </w:p>
    <w:p w14:paraId="691C9591">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204" w:name="_Toc244"/>
      <w:bookmarkStart w:id="205" w:name="_Toc15401"/>
      <w:bookmarkStart w:id="206" w:name="_Toc20441"/>
      <w:bookmarkStart w:id="207" w:name="_Toc11279"/>
      <w:bookmarkStart w:id="208" w:name="_Toc4057"/>
      <w:bookmarkStart w:id="209" w:name="_Toc13700"/>
      <w:bookmarkStart w:id="210" w:name="_Toc14647"/>
      <w:r>
        <w:rPr>
          <w:rFonts w:hint="eastAsia" w:ascii="黑体" w:hAnsi="黑体" w:eastAsia="黑体" w:cs="黑体"/>
          <w:color w:val="auto"/>
          <w:highlight w:val="none"/>
          <w:lang w:val="en-US" w:eastAsia="zh-CN"/>
        </w:rPr>
        <w:t>一、优化综合交通体系</w:t>
      </w:r>
      <w:bookmarkEnd w:id="203"/>
      <w:bookmarkEnd w:id="204"/>
      <w:bookmarkEnd w:id="205"/>
      <w:bookmarkEnd w:id="206"/>
      <w:bookmarkEnd w:id="207"/>
      <w:bookmarkEnd w:id="208"/>
      <w:bookmarkEnd w:id="209"/>
      <w:bookmarkEnd w:id="210"/>
    </w:p>
    <w:p w14:paraId="070FBF55">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color w:val="auto"/>
          <w:kern w:val="2"/>
          <w:szCs w:val="32"/>
          <w:highlight w:val="none"/>
          <w:lang w:val="en-US" w:eastAsia="zh-CN"/>
        </w:rPr>
        <w:t>强化“两纵两横”通道战略支撑，提升枢纽辐射能级，织密城市道路、公交、慢行空间立体网络，贯通公路、铁路及城乡公交区域动脉，构建“安全、便捷、高效、绿色、经济”的现代化综合交通运输网络。</w:t>
      </w:r>
    </w:p>
    <w:p w14:paraId="79783DE4">
      <w:pPr>
        <w:pStyle w:val="5"/>
        <w:keepNext w:val="0"/>
        <w:keepLines w:val="0"/>
        <w:pageBreakBefore w:val="0"/>
        <w:shd w:val="clear"/>
        <w:kinsoku/>
        <w:wordWrap/>
        <w:overflowPunct w:val="0"/>
        <w:topLinePunct w:val="0"/>
        <w:autoSpaceDE/>
        <w:autoSpaceDN/>
        <w:bidi w:val="0"/>
        <w:adjustRightInd/>
        <w:ind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（一）提升对外联通能力。</w:t>
      </w:r>
      <w:r>
        <w:rPr>
          <w:rFonts w:hint="eastAsia"/>
          <w:color w:val="auto"/>
          <w:kern w:val="2"/>
          <w:szCs w:val="32"/>
          <w:highlight w:val="none"/>
        </w:rPr>
        <w:t>强化区域战略通道布局，贯通京沪、东吕、青银及大北环四大通道，强化南北向与济南</w:t>
      </w:r>
      <w:r>
        <w:rPr>
          <w:rFonts w:hint="eastAsia"/>
          <w:color w:val="auto"/>
          <w:kern w:val="2"/>
          <w:szCs w:val="32"/>
          <w:highlight w:val="none"/>
          <w:lang w:val="en-US" w:eastAsia="zh-CN"/>
        </w:rPr>
        <w:t>中心</w:t>
      </w:r>
      <w:r>
        <w:rPr>
          <w:rFonts w:hint="eastAsia"/>
          <w:color w:val="auto"/>
          <w:kern w:val="2"/>
          <w:szCs w:val="32"/>
          <w:highlight w:val="none"/>
        </w:rPr>
        <w:t>城区、北京方向的快速联系，增强东西向与淄博、滨州、东营及济南遥墙</w:t>
      </w:r>
      <w:r>
        <w:rPr>
          <w:rFonts w:hint="eastAsia"/>
          <w:color w:val="auto"/>
          <w:kern w:val="2"/>
          <w:szCs w:val="32"/>
          <w:highlight w:val="none"/>
          <w:lang w:val="en-US" w:eastAsia="zh-CN"/>
        </w:rPr>
        <w:t>国际</w:t>
      </w:r>
      <w:r>
        <w:rPr>
          <w:rFonts w:hint="eastAsia"/>
          <w:color w:val="auto"/>
          <w:kern w:val="2"/>
          <w:szCs w:val="32"/>
          <w:highlight w:val="none"/>
        </w:rPr>
        <w:t>机场、青岛等方向的交通连接</w:t>
      </w:r>
      <w:r>
        <w:rPr>
          <w:rFonts w:hint="eastAsia"/>
          <w:color w:val="auto"/>
          <w:kern w:val="2"/>
          <w:szCs w:val="32"/>
          <w:highlight w:val="none"/>
          <w:lang w:eastAsia="zh-CN"/>
        </w:rPr>
        <w:t>，</w:t>
      </w:r>
      <w:r>
        <w:rPr>
          <w:rFonts w:hint="eastAsia"/>
          <w:color w:val="auto"/>
          <w:kern w:val="2"/>
          <w:szCs w:val="32"/>
          <w:highlight w:val="none"/>
          <w:lang w:val="en-US" w:eastAsia="zh-CN"/>
        </w:rPr>
        <w:t>依托</w:t>
      </w:r>
      <w:r>
        <w:rPr>
          <w:rFonts w:hint="eastAsia"/>
          <w:color w:val="auto"/>
          <w:kern w:val="2"/>
          <w:szCs w:val="32"/>
          <w:highlight w:val="none"/>
        </w:rPr>
        <w:t>大北环通道</w:t>
      </w:r>
      <w:r>
        <w:rPr>
          <w:rFonts w:hint="eastAsia"/>
          <w:color w:val="auto"/>
          <w:kern w:val="2"/>
          <w:szCs w:val="32"/>
          <w:highlight w:val="none"/>
          <w:lang w:val="en-US" w:eastAsia="zh-CN"/>
        </w:rPr>
        <w:t>加快</w:t>
      </w:r>
      <w:r>
        <w:rPr>
          <w:rFonts w:hint="eastAsia"/>
          <w:color w:val="auto"/>
          <w:kern w:val="2"/>
          <w:szCs w:val="32"/>
          <w:highlight w:val="none"/>
        </w:rPr>
        <w:t>融入</w:t>
      </w:r>
      <w:r>
        <w:rPr>
          <w:rFonts w:hint="eastAsia"/>
          <w:color w:val="auto"/>
          <w:kern w:val="2"/>
          <w:szCs w:val="32"/>
          <w:highlight w:val="none"/>
          <w:lang w:val="en-US" w:eastAsia="zh-CN"/>
        </w:rPr>
        <w:t>济南都市圈</w:t>
      </w:r>
      <w:r>
        <w:rPr>
          <w:rFonts w:hint="eastAsia"/>
          <w:color w:val="auto"/>
          <w:kern w:val="2"/>
          <w:szCs w:val="32"/>
          <w:highlight w:val="none"/>
        </w:rPr>
        <w:t>的关键环线，提升区域可达性。</w:t>
      </w:r>
      <w:r>
        <w:rPr>
          <w:rFonts w:ascii="FangSong_GB2312" w:hAnsi="FangSong_GB2312" w:eastAsia="FangSong_GB2312" w:cs="FangSong_GB2312"/>
          <w:color w:val="auto"/>
          <w:spacing w:val="5"/>
          <w:sz w:val="31"/>
          <w:szCs w:val="31"/>
          <w:highlight w:val="none"/>
        </w:rPr>
        <w:t>织密</w:t>
      </w:r>
      <w:r>
        <w:rPr>
          <w:rFonts w:hint="eastAsia" w:ascii="FangSong_GB2312" w:hAnsi="FangSong_GB2312" w:eastAsia="FangSong_GB2312" w:cs="FangSong_GB2312"/>
          <w:color w:val="auto"/>
          <w:spacing w:val="5"/>
          <w:sz w:val="31"/>
          <w:szCs w:val="31"/>
          <w:highlight w:val="none"/>
          <w:lang w:val="en-US" w:eastAsia="zh-CN"/>
        </w:rPr>
        <w:t>国省干线</w:t>
      </w:r>
      <w:r>
        <w:rPr>
          <w:rFonts w:ascii="FangSong_GB2312" w:hAnsi="FangSong_GB2312" w:eastAsia="FangSong_GB2312" w:cs="FangSong_GB2312"/>
          <w:color w:val="auto"/>
          <w:spacing w:val="5"/>
          <w:sz w:val="31"/>
          <w:szCs w:val="31"/>
          <w:highlight w:val="none"/>
        </w:rPr>
        <w:t>公路网络，</w:t>
      </w:r>
      <w:r>
        <w:rPr>
          <w:rFonts w:hint="eastAsia"/>
          <w:color w:val="auto"/>
          <w:kern w:val="2"/>
          <w:szCs w:val="32"/>
          <w:highlight w:val="none"/>
        </w:rPr>
        <w:t>推进G220东深线改线、G308改建工程，优化S240、S241等省道路网，形成衔接</w:t>
      </w:r>
      <w:r>
        <w:rPr>
          <w:rFonts w:hint="eastAsia"/>
          <w:color w:val="auto"/>
          <w:kern w:val="2"/>
          <w:szCs w:val="32"/>
          <w:highlight w:val="none"/>
          <w:lang w:eastAsia="zh-CN"/>
        </w:rPr>
        <w:t>济南新旧动能转换起步区</w:t>
      </w:r>
      <w:r>
        <w:rPr>
          <w:rFonts w:hint="eastAsia"/>
          <w:color w:val="auto"/>
          <w:kern w:val="2"/>
          <w:szCs w:val="32"/>
          <w:highlight w:val="none"/>
        </w:rPr>
        <w:t>、济南</w:t>
      </w:r>
      <w:r>
        <w:rPr>
          <w:rFonts w:hint="eastAsia"/>
          <w:color w:val="auto"/>
          <w:kern w:val="2"/>
          <w:szCs w:val="32"/>
          <w:highlight w:val="none"/>
          <w:lang w:val="en-US" w:eastAsia="zh-CN"/>
        </w:rPr>
        <w:t>中心</w:t>
      </w:r>
      <w:r>
        <w:rPr>
          <w:rFonts w:hint="eastAsia"/>
          <w:color w:val="auto"/>
          <w:kern w:val="2"/>
          <w:szCs w:val="32"/>
          <w:highlight w:val="none"/>
        </w:rPr>
        <w:t>城区</w:t>
      </w:r>
      <w:r>
        <w:rPr>
          <w:rFonts w:ascii="FangSong_GB2312" w:hAnsi="FangSong_GB2312" w:eastAsia="FangSong_GB2312" w:cs="FangSong_GB2312"/>
          <w:color w:val="auto"/>
          <w:spacing w:val="5"/>
          <w:sz w:val="31"/>
          <w:szCs w:val="31"/>
          <w:highlight w:val="none"/>
        </w:rPr>
        <w:t>双向</w:t>
      </w:r>
      <w:r>
        <w:rPr>
          <w:rFonts w:hint="eastAsia" w:ascii="FangSong_GB2312" w:hAnsi="FangSong_GB2312" w:eastAsia="FangSong_GB2312" w:cs="FangSong_GB2312"/>
          <w:color w:val="auto"/>
          <w:spacing w:val="5"/>
          <w:sz w:val="31"/>
          <w:szCs w:val="31"/>
          <w:highlight w:val="none"/>
          <w:lang w:val="en-US" w:eastAsia="zh-CN"/>
        </w:rPr>
        <w:t>快速</w:t>
      </w:r>
      <w:r>
        <w:rPr>
          <w:rFonts w:ascii="FangSong_GB2312" w:hAnsi="FangSong_GB2312" w:eastAsia="FangSong_GB2312" w:cs="FangSong_GB2312"/>
          <w:color w:val="auto"/>
          <w:spacing w:val="5"/>
          <w:sz w:val="31"/>
          <w:szCs w:val="31"/>
          <w:highlight w:val="none"/>
        </w:rPr>
        <w:t>干线网络</w:t>
      </w:r>
      <w:r>
        <w:rPr>
          <w:rFonts w:hint="eastAsia"/>
          <w:color w:val="auto"/>
          <w:kern w:val="2"/>
          <w:szCs w:val="32"/>
          <w:highlight w:val="none"/>
        </w:rPr>
        <w:t>。</w:t>
      </w:r>
      <w:r>
        <w:rPr>
          <w:rFonts w:hint="default" w:ascii="FangSong_GB2312" w:hAnsi="FangSong_GB2312" w:eastAsia="FangSong_GB2312" w:cs="FangSong_GB2312"/>
          <w:color w:val="auto"/>
          <w:spacing w:val="5"/>
          <w:sz w:val="31"/>
          <w:szCs w:val="31"/>
          <w:highlight w:val="none"/>
          <w:lang w:val="en-US" w:eastAsia="zh-CN"/>
        </w:rPr>
        <w:t>适时</w:t>
      </w:r>
      <w:r>
        <w:rPr>
          <w:rFonts w:hint="default" w:ascii="FangSong_GB2312" w:hAnsi="FangSong_GB2312" w:eastAsia="FangSong_GB2312" w:cs="FangSong_GB2312"/>
          <w:color w:val="auto"/>
          <w:spacing w:val="5"/>
          <w:sz w:val="31"/>
          <w:szCs w:val="31"/>
          <w:highlight w:val="none"/>
        </w:rPr>
        <w:t>启动</w:t>
      </w:r>
      <w:r>
        <w:rPr>
          <w:rFonts w:hint="default" w:ascii="仿宋_GB2312" w:hAnsi="仿宋_GB2312" w:eastAsia="仿宋_GB2312" w:cs="仿宋_GB2312"/>
          <w:color w:val="auto"/>
          <w:sz w:val="32"/>
          <w:szCs w:val="32"/>
          <w:highlight w:val="none"/>
          <w:lang w:val="en-US" w:eastAsia="zh-CN" w:bidi="ar-SA"/>
        </w:rPr>
        <w:t>S241</w:t>
      </w:r>
      <w:r>
        <w:rPr>
          <w:rFonts w:hint="eastAsia" w:ascii="仿宋_GB2312" w:hAnsi="仿宋_GB2312" w:eastAsia="仿宋_GB2312" w:cs="仿宋_GB2312"/>
          <w:color w:val="auto"/>
          <w:sz w:val="32"/>
          <w:szCs w:val="32"/>
          <w:highlight w:val="none"/>
          <w:lang w:val="en-US" w:eastAsia="zh-CN" w:bidi="ar-SA"/>
        </w:rPr>
        <w:t>临徐线</w:t>
      </w:r>
      <w:r>
        <w:rPr>
          <w:rFonts w:hint="default" w:ascii="仿宋_GB2312" w:hAnsi="仿宋_GB2312" w:eastAsia="仿宋_GB2312" w:cs="仿宋_GB2312"/>
          <w:color w:val="auto"/>
          <w:sz w:val="32"/>
          <w:szCs w:val="32"/>
          <w:highlight w:val="none"/>
          <w:lang w:val="en-US" w:eastAsia="zh-CN" w:bidi="ar-SA"/>
        </w:rPr>
        <w:t>济章黄河大桥及</w:t>
      </w:r>
      <w:r>
        <w:rPr>
          <w:rFonts w:hint="eastAsia" w:ascii="仿宋_GB2312" w:hAnsi="仿宋_GB2312" w:eastAsia="仿宋_GB2312" w:cs="仿宋_GB2312"/>
          <w:color w:val="auto"/>
          <w:sz w:val="32"/>
          <w:szCs w:val="32"/>
          <w:highlight w:val="none"/>
          <w:lang w:val="en-US" w:eastAsia="zh-CN" w:bidi="ar-SA"/>
        </w:rPr>
        <w:t>连接线</w:t>
      </w:r>
      <w:r>
        <w:rPr>
          <w:rFonts w:hint="default" w:ascii="仿宋_GB2312" w:hAnsi="仿宋_GB2312" w:eastAsia="仿宋_GB2312" w:cs="仿宋_GB2312"/>
          <w:color w:val="auto"/>
          <w:sz w:val="32"/>
          <w:szCs w:val="32"/>
          <w:highlight w:val="none"/>
          <w:lang w:val="en-US" w:eastAsia="zh-CN" w:bidi="ar-SA"/>
        </w:rPr>
        <w:t>项目</w:t>
      </w:r>
      <w:r>
        <w:rPr>
          <w:rFonts w:hint="default" w:ascii="FangSong_GB2312" w:hAnsi="FangSong_GB2312" w:eastAsia="FangSong_GB2312" w:cs="FangSong_GB2312"/>
          <w:color w:val="auto"/>
          <w:spacing w:val="5"/>
          <w:sz w:val="31"/>
          <w:szCs w:val="31"/>
          <w:highlight w:val="none"/>
        </w:rPr>
        <w:t>，强化与</w:t>
      </w:r>
      <w:r>
        <w:rPr>
          <w:rFonts w:hint="eastAsia" w:ascii="FangSong_GB2312" w:hAnsi="FangSong_GB2312" w:eastAsia="FangSong_GB2312" w:cs="FangSong_GB2312"/>
          <w:color w:val="auto"/>
          <w:spacing w:val="5"/>
          <w:sz w:val="31"/>
          <w:szCs w:val="31"/>
          <w:highlight w:val="none"/>
          <w:lang w:val="en-US" w:eastAsia="zh-CN"/>
        </w:rPr>
        <w:t>德州、滨州</w:t>
      </w:r>
      <w:r>
        <w:rPr>
          <w:rFonts w:hint="default" w:ascii="FangSong_GB2312" w:hAnsi="FangSong_GB2312" w:eastAsia="FangSong_GB2312" w:cs="FangSong_GB2312"/>
          <w:color w:val="auto"/>
          <w:spacing w:val="5"/>
          <w:sz w:val="31"/>
          <w:szCs w:val="31"/>
          <w:highlight w:val="none"/>
        </w:rPr>
        <w:t>等周边区域干线路网衔接。</w:t>
      </w:r>
      <w:r>
        <w:rPr>
          <w:rFonts w:hint="eastAsia"/>
          <w:color w:val="auto"/>
          <w:kern w:val="2"/>
          <w:szCs w:val="32"/>
          <w:highlight w:val="none"/>
        </w:rPr>
        <w:t>优化多层次轨道交通</w:t>
      </w:r>
      <w:r>
        <w:rPr>
          <w:rFonts w:hint="eastAsia"/>
          <w:color w:val="auto"/>
          <w:kern w:val="2"/>
          <w:szCs w:val="32"/>
          <w:highlight w:val="none"/>
          <w:lang w:eastAsia="zh-CN"/>
        </w:rPr>
        <w:t>，</w:t>
      </w:r>
      <w:r>
        <w:rPr>
          <w:rFonts w:hint="eastAsia"/>
          <w:color w:val="auto"/>
          <w:kern w:val="2"/>
          <w:szCs w:val="32"/>
          <w:highlight w:val="none"/>
        </w:rPr>
        <w:t>加快济滨高铁建设，强化与滨州、北京方向的干线衔接。</w:t>
      </w:r>
    </w:p>
    <w:p w14:paraId="768C2D8D">
      <w:pPr>
        <w:pStyle w:val="5"/>
        <w:keepNext w:val="0"/>
        <w:keepLines w:val="0"/>
        <w:pageBreakBefore w:val="0"/>
        <w:shd w:val="clear"/>
        <w:kinsoku/>
        <w:wordWrap/>
        <w:overflowPunct w:val="0"/>
        <w:topLinePunct w:val="0"/>
        <w:autoSpaceDE/>
        <w:autoSpaceDN/>
        <w:bidi w:val="0"/>
        <w:adjustRightInd/>
        <w:ind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（二）优化内部路网结构。</w:t>
      </w:r>
      <w:r>
        <w:rPr>
          <w:rFonts w:hint="eastAsia" w:ascii="仿宋_GB2312" w:hAnsi="仿宋_GB2312" w:eastAsia="仿宋_GB2312" w:cs="仿宋_GB2312"/>
          <w:color w:val="auto"/>
          <w:kern w:val="2"/>
          <w:sz w:val="32"/>
          <w:szCs w:val="32"/>
          <w:highlight w:val="none"/>
          <w:lang w:val="en-US" w:eastAsia="zh-CN" w:bidi="ar-SA"/>
        </w:rPr>
        <w:t>完善滨河片区市政路网，推进黄河大道北延、济太路与回孙路改造提升等重点工程，强化与</w:t>
      </w:r>
      <w:r>
        <w:rPr>
          <w:rFonts w:hint="eastAsia" w:cs="仿宋_GB2312"/>
          <w:color w:val="auto"/>
          <w:kern w:val="2"/>
          <w:sz w:val="32"/>
          <w:szCs w:val="32"/>
          <w:highlight w:val="none"/>
          <w:lang w:val="en-US" w:eastAsia="zh-CN" w:bidi="ar-SA"/>
        </w:rPr>
        <w:t>济南新旧动能转换起步区</w:t>
      </w:r>
      <w:r>
        <w:rPr>
          <w:rFonts w:hint="eastAsia" w:ascii="仿宋_GB2312" w:hAnsi="仿宋_GB2312" w:eastAsia="仿宋_GB2312" w:cs="仿宋_GB2312"/>
          <w:color w:val="auto"/>
          <w:kern w:val="2"/>
          <w:sz w:val="32"/>
          <w:szCs w:val="32"/>
          <w:highlight w:val="none"/>
          <w:lang w:val="en-US" w:eastAsia="zh-CN" w:bidi="ar-SA"/>
        </w:rPr>
        <w:t>路网高效衔接。谋划稼轩西路北延与开元大街对接工程、实施澄波湖路南延项目，构建连接</w:t>
      </w:r>
      <w:r>
        <w:rPr>
          <w:rFonts w:hint="eastAsia" w:cs="仿宋_GB2312"/>
          <w:color w:val="auto"/>
          <w:kern w:val="2"/>
          <w:sz w:val="32"/>
          <w:szCs w:val="32"/>
          <w:highlight w:val="none"/>
          <w:lang w:val="en-US" w:eastAsia="zh-CN" w:bidi="ar-SA"/>
        </w:rPr>
        <w:t>济南</w:t>
      </w:r>
      <w:r>
        <w:rPr>
          <w:rFonts w:hint="eastAsia" w:ascii="仿宋_GB2312" w:hAnsi="仿宋_GB2312" w:eastAsia="仿宋_GB2312" w:cs="仿宋_GB2312"/>
          <w:color w:val="auto"/>
          <w:kern w:val="2"/>
          <w:sz w:val="32"/>
          <w:szCs w:val="32"/>
          <w:highlight w:val="none"/>
          <w:lang w:val="en-US" w:eastAsia="zh-CN" w:bidi="ar-SA"/>
        </w:rPr>
        <w:t>遥墙</w:t>
      </w:r>
      <w:r>
        <w:rPr>
          <w:rFonts w:hint="eastAsia" w:cs="仿宋_GB2312"/>
          <w:color w:val="auto"/>
          <w:kern w:val="2"/>
          <w:sz w:val="32"/>
          <w:szCs w:val="32"/>
          <w:highlight w:val="none"/>
          <w:lang w:val="en-US" w:eastAsia="zh-CN" w:bidi="ar-SA"/>
        </w:rPr>
        <w:t>国际</w:t>
      </w:r>
      <w:r>
        <w:rPr>
          <w:rFonts w:hint="eastAsia" w:ascii="仿宋_GB2312" w:hAnsi="仿宋_GB2312" w:eastAsia="仿宋_GB2312" w:cs="仿宋_GB2312"/>
          <w:color w:val="auto"/>
          <w:kern w:val="2"/>
          <w:sz w:val="32"/>
          <w:szCs w:val="32"/>
          <w:highlight w:val="none"/>
          <w:lang w:val="en-US" w:eastAsia="zh-CN" w:bidi="ar-SA"/>
        </w:rPr>
        <w:t>机场的快速通道。系统提升城区道路通行效率，优化交通组织与信号控制，推进关键节点改造与瓶颈路段拓宽。持续完善城市公共交通体系，大力发展智慧公交与绿色出行，优化公交线网与站点布局，推进公交智能调度系统建设与专用路权设置，实现公交站点300米覆盖率70%、500米覆盖率95%。同步完善慢行交通网络，改善人行与非机动车通行环境。实施农村公路提质增效工程，提升农村路网连通水平与服务能力，全面改善城乡交通条件。</w:t>
      </w:r>
    </w:p>
    <w:p w14:paraId="7DFF044C">
      <w:pPr>
        <w:keepNext w:val="0"/>
        <w:keepLines w:val="0"/>
        <w:pageBreakBefore w:val="0"/>
        <w:widowControl/>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（三）强化综合枢纽功能。</w:t>
      </w:r>
      <w:r>
        <w:rPr>
          <w:rFonts w:hint="eastAsia" w:ascii="仿宋_GB2312" w:hAnsi="仿宋_GB2312" w:eastAsia="仿宋_GB2312" w:cs="仿宋_GB2312"/>
          <w:b w:val="0"/>
          <w:bCs w:val="0"/>
          <w:color w:val="auto"/>
          <w:spacing w:val="0"/>
          <w:kern w:val="2"/>
          <w:sz w:val="32"/>
          <w:szCs w:val="32"/>
          <w:highlight w:val="none"/>
          <w:lang w:val="en-US" w:eastAsia="zh-CN"/>
        </w:rPr>
        <w:t>加快推进</w:t>
      </w:r>
      <w:r>
        <w:rPr>
          <w:rFonts w:hint="eastAsia" w:cs="仿宋_GB2312"/>
          <w:b w:val="0"/>
          <w:bCs w:val="0"/>
          <w:color w:val="auto"/>
          <w:spacing w:val="0"/>
          <w:kern w:val="2"/>
          <w:sz w:val="32"/>
          <w:szCs w:val="32"/>
          <w:highlight w:val="none"/>
          <w:lang w:val="en-US" w:eastAsia="zh-CN"/>
        </w:rPr>
        <w:t>济滨高铁</w:t>
      </w:r>
      <w:r>
        <w:rPr>
          <w:rFonts w:hint="eastAsia" w:ascii="仿宋_GB2312" w:hAnsi="仿宋_GB2312" w:eastAsia="仿宋_GB2312" w:cs="仿宋_GB2312"/>
          <w:b w:val="0"/>
          <w:bCs w:val="0"/>
          <w:color w:val="auto"/>
          <w:spacing w:val="0"/>
          <w:kern w:val="2"/>
          <w:sz w:val="32"/>
          <w:szCs w:val="32"/>
          <w:highlight w:val="none"/>
          <w:lang w:val="en-US" w:eastAsia="zh-CN"/>
        </w:rPr>
        <w:t>济阳站综合枢纽建设，积极推进轨道交通、城际班线与高铁站的高效衔接，</w:t>
      </w:r>
      <w:r>
        <w:rPr>
          <w:rFonts w:hint="eastAsia"/>
          <w:color w:val="auto"/>
          <w:kern w:val="2"/>
          <w:szCs w:val="32"/>
          <w:highlight w:val="none"/>
          <w:lang w:val="en-US" w:eastAsia="zh-CN"/>
        </w:rPr>
        <w:t>集成城市公交、出租车、社会车辆、慢行等多种交通方式，打造一体化现代综合客运枢纽。升级济阳汽车总站客运枢纽，优化城际班线布局，科学规划班次密度，提升站场综合效能。积极打造济阳公铁联运枢纽，谋划公铁联运智慧冷链物流基地项目，承担区域货物中转集散核心功能。完善区、街道（镇）、村（居）三级物流共配与客货邮融合体系，建设街道（镇）物流节点，拓展农产品上行渠道，推广“快递无人车”等新技术应用，提升物流服务效率和质量，全面提升交通服务惠企利民水平，有效解决“最后一公里”问题。</w:t>
      </w:r>
    </w:p>
    <w:p w14:paraId="78747491">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0" w:firstLineChars="0"/>
        <w:jc w:val="center"/>
        <w:textAlignment w:val="auto"/>
        <w:outlineLvl w:val="2"/>
        <w:rPr>
          <w:rFonts w:hint="default" w:ascii="楷体_GB2312" w:hAnsi="楷体_GB2312" w:eastAsia="楷体_GB2312" w:cs="楷体_GB2312"/>
          <w:b w:val="0"/>
          <w:bCs w:val="0"/>
          <w:color w:val="auto"/>
          <w:spacing w:val="0"/>
          <w:kern w:val="2"/>
          <w:sz w:val="28"/>
          <w:szCs w:val="28"/>
          <w:highlight w:val="none"/>
          <w:lang w:val="en-US" w:eastAsia="zh-CN"/>
        </w:rPr>
      </w:pPr>
      <w:bookmarkStart w:id="211" w:name="_Toc10527"/>
      <w:r>
        <w:rPr>
          <w:rFonts w:hint="eastAsia" w:ascii="楷体_GB2312" w:hAnsi="楷体_GB2312" w:eastAsia="楷体_GB2312" w:cs="楷体_GB2312"/>
          <w:b w:val="0"/>
          <w:bCs w:val="0"/>
          <w:color w:val="auto"/>
          <w:spacing w:val="0"/>
          <w:kern w:val="2"/>
          <w:sz w:val="28"/>
          <w:szCs w:val="28"/>
          <w:highlight w:val="none"/>
          <w:lang w:val="zh-CN" w:eastAsia="zh-CN"/>
        </w:rPr>
        <w:t>专栏</w:t>
      </w:r>
      <w:r>
        <w:rPr>
          <w:rFonts w:hint="eastAsia" w:ascii="楷体_GB2312" w:hAnsi="楷体_GB2312" w:eastAsia="楷体_GB2312" w:cs="楷体_GB2312"/>
          <w:b w:val="0"/>
          <w:bCs w:val="0"/>
          <w:color w:val="auto"/>
          <w:spacing w:val="0"/>
          <w:kern w:val="2"/>
          <w:sz w:val="28"/>
          <w:szCs w:val="28"/>
          <w:highlight w:val="none"/>
          <w:lang w:val="en-US" w:eastAsia="zh-CN"/>
        </w:rPr>
        <w:t xml:space="preserve">7  </w:t>
      </w:r>
      <w:r>
        <w:rPr>
          <w:rFonts w:hint="eastAsia" w:ascii="楷体_GB2312" w:hAnsi="楷体_GB2312" w:eastAsia="楷体_GB2312" w:cs="楷体_GB2312"/>
          <w:b w:val="0"/>
          <w:bCs w:val="0"/>
          <w:color w:val="auto"/>
          <w:spacing w:val="0"/>
          <w:kern w:val="2"/>
          <w:sz w:val="28"/>
          <w:szCs w:val="28"/>
          <w:highlight w:val="none"/>
          <w:lang w:val="zh-CN" w:eastAsia="zh-CN"/>
        </w:rPr>
        <w:t>交通领域重点建设项目</w:t>
      </w:r>
      <w:bookmarkEnd w:id="211"/>
    </w:p>
    <w:tbl>
      <w:tblPr>
        <w:tblStyle w:val="1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7F88FC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14:paraId="013B1C7E">
            <w:pPr>
              <w:keepNext w:val="0"/>
              <w:keepLines w:val="0"/>
              <w:pageBreakBefore w:val="0"/>
              <w:widowControl w:val="0"/>
              <w:suppressLineNumbers w:val="0"/>
              <w:shd w:val="clear"/>
              <w:kinsoku/>
              <w:wordWrap/>
              <w:overflowPunct w:val="0"/>
              <w:topLinePunct w:val="0"/>
              <w:autoSpaceDE/>
              <w:autoSpaceDN/>
              <w:bidi w:val="0"/>
              <w:adjustRightInd/>
              <w:snapToGrid/>
              <w:spacing w:beforeAutospacing="0" w:afterAutospacing="0" w:line="480" w:lineRule="exact"/>
              <w:ind w:left="0" w:leftChars="0" w:right="0" w:firstLine="562" w:firstLineChars="200"/>
              <w:jc w:val="both"/>
              <w:textAlignment w:val="auto"/>
              <w:rPr>
                <w:rFonts w:hint="eastAsia" w:ascii="楷体_GB2312" w:hAnsi="楷体_GB2312" w:eastAsia="楷体_GB2312" w:cs="楷体_GB2312"/>
                <w:b w:val="0"/>
                <w:bCs/>
                <w:color w:val="auto"/>
                <w:kern w:val="2"/>
                <w:sz w:val="28"/>
                <w:szCs w:val="28"/>
                <w:highlight w:val="none"/>
                <w:u w:val="none"/>
                <w:lang w:val="zh-CN" w:eastAsia="zh-CN" w:bidi="ar-SA"/>
              </w:rPr>
            </w:pPr>
            <w:r>
              <w:rPr>
                <w:rFonts w:hint="eastAsia" w:ascii="楷体_GB2312" w:hAnsi="楷体_GB2312" w:eastAsia="楷体_GB2312" w:cs="楷体_GB2312"/>
                <w:b/>
                <w:bCs w:val="0"/>
                <w:color w:val="auto"/>
                <w:sz w:val="28"/>
                <w:szCs w:val="28"/>
                <w:highlight w:val="none"/>
                <w:u w:val="none"/>
                <w:lang w:val="en-US" w:eastAsia="zh-CN"/>
              </w:rPr>
              <w:t>1.</w:t>
            </w:r>
            <w:r>
              <w:rPr>
                <w:rFonts w:hint="eastAsia" w:ascii="楷体_GB2312" w:hAnsi="楷体_GB2312" w:eastAsia="楷体_GB2312" w:cs="楷体_GB2312"/>
                <w:b/>
                <w:bCs w:val="0"/>
                <w:color w:val="auto"/>
                <w:sz w:val="28"/>
                <w:szCs w:val="28"/>
                <w:highlight w:val="none"/>
                <w:u w:val="none"/>
                <w:lang w:val="zh-CN" w:eastAsia="zh-CN"/>
              </w:rPr>
              <w:t>铁路</w:t>
            </w:r>
            <w:r>
              <w:rPr>
                <w:rFonts w:hint="eastAsia" w:ascii="楷体_GB2312" w:hAnsi="楷体_GB2312" w:eastAsia="楷体_GB2312" w:cs="楷体_GB2312"/>
                <w:bCs/>
                <w:color w:val="auto"/>
                <w:sz w:val="28"/>
                <w:szCs w:val="28"/>
                <w:highlight w:val="none"/>
                <w:u w:val="none"/>
                <w:lang w:val="zh-CN" w:eastAsia="zh-CN"/>
              </w:rPr>
              <w:t>：济滨高铁</w:t>
            </w:r>
            <w:r>
              <w:rPr>
                <w:rFonts w:hint="eastAsia" w:ascii="楷体_GB2312" w:hAnsi="楷体_GB2312" w:eastAsia="楷体_GB2312" w:cs="楷体_GB2312"/>
                <w:b w:val="0"/>
                <w:bCs/>
                <w:color w:val="auto"/>
                <w:kern w:val="2"/>
                <w:sz w:val="28"/>
                <w:szCs w:val="28"/>
                <w:highlight w:val="none"/>
                <w:u w:val="none"/>
                <w:lang w:val="en-US" w:eastAsia="zh-CN" w:bidi="ar-SA"/>
              </w:rPr>
              <w:t>项目</w:t>
            </w:r>
          </w:p>
          <w:p w14:paraId="5DE88AA9">
            <w:pPr>
              <w:keepNext w:val="0"/>
              <w:keepLines w:val="0"/>
              <w:pageBreakBefore w:val="0"/>
              <w:widowControl w:val="0"/>
              <w:suppressLineNumbers w:val="0"/>
              <w:shd w:val="clear"/>
              <w:kinsoku/>
              <w:wordWrap/>
              <w:overflowPunct w:val="0"/>
              <w:topLinePunct w:val="0"/>
              <w:autoSpaceDE/>
              <w:autoSpaceDN/>
              <w:bidi w:val="0"/>
              <w:adjustRightInd/>
              <w:snapToGrid/>
              <w:spacing w:beforeAutospacing="0" w:afterAutospacing="0" w:line="480" w:lineRule="exact"/>
              <w:ind w:left="0" w:leftChars="0" w:right="0" w:firstLine="562" w:firstLineChars="200"/>
              <w:jc w:val="both"/>
              <w:textAlignment w:val="auto"/>
              <w:rPr>
                <w:rFonts w:hint="eastAsia" w:ascii="楷体_GB2312" w:hAnsi="楷体_GB2312" w:eastAsia="楷体_GB2312" w:cs="楷体_GB2312"/>
                <w:bCs/>
                <w:color w:val="auto"/>
                <w:sz w:val="28"/>
                <w:szCs w:val="28"/>
                <w:highlight w:val="none"/>
                <w:u w:val="none"/>
                <w:lang w:val="zh-CN" w:eastAsia="zh-CN"/>
              </w:rPr>
            </w:pPr>
            <w:r>
              <w:rPr>
                <w:rFonts w:hint="eastAsia" w:ascii="楷体_GB2312" w:hAnsi="楷体_GB2312" w:eastAsia="楷体_GB2312" w:cs="楷体_GB2312"/>
                <w:b/>
                <w:bCs w:val="0"/>
                <w:color w:val="auto"/>
                <w:sz w:val="28"/>
                <w:szCs w:val="28"/>
                <w:highlight w:val="none"/>
                <w:u w:val="none"/>
                <w:lang w:val="zh-CN" w:eastAsia="zh-CN"/>
              </w:rPr>
              <w:t>2.公路</w:t>
            </w:r>
            <w:r>
              <w:rPr>
                <w:rFonts w:hint="eastAsia" w:ascii="楷体_GB2312" w:hAnsi="楷体_GB2312" w:eastAsia="楷体_GB2312" w:cs="楷体_GB2312"/>
                <w:bCs/>
                <w:color w:val="auto"/>
                <w:sz w:val="28"/>
                <w:szCs w:val="28"/>
                <w:highlight w:val="none"/>
                <w:u w:val="none"/>
                <w:lang w:val="zh-CN" w:eastAsia="zh-CN"/>
              </w:rPr>
              <w:t>：（</w:t>
            </w:r>
            <w:r>
              <w:rPr>
                <w:rFonts w:hint="eastAsia" w:ascii="楷体_GB2312" w:hAnsi="楷体_GB2312" w:eastAsia="楷体_GB2312" w:cs="楷体_GB2312"/>
                <w:bCs/>
                <w:color w:val="auto"/>
                <w:sz w:val="28"/>
                <w:szCs w:val="28"/>
                <w:highlight w:val="none"/>
                <w:u w:val="none"/>
                <w:lang w:val="en-US" w:eastAsia="zh-CN"/>
              </w:rPr>
              <w:t>1</w:t>
            </w:r>
            <w:r>
              <w:rPr>
                <w:rFonts w:hint="eastAsia" w:ascii="楷体_GB2312" w:hAnsi="楷体_GB2312" w:eastAsia="楷体_GB2312" w:cs="楷体_GB2312"/>
                <w:bCs/>
                <w:color w:val="auto"/>
                <w:sz w:val="28"/>
                <w:szCs w:val="28"/>
                <w:highlight w:val="none"/>
                <w:u w:val="none"/>
                <w:lang w:val="zh-CN" w:eastAsia="zh-CN"/>
              </w:rPr>
              <w:t>）干线公路，G308文石线黄河公铁两用大桥及连接线工程、S241临徐线济章黄河大桥及连接线、S241临徐线改扩建工程项目、国道220线济阳城区北段改线项目；（</w:t>
            </w:r>
            <w:r>
              <w:rPr>
                <w:rFonts w:hint="eastAsia" w:ascii="楷体_GB2312" w:hAnsi="楷体_GB2312" w:eastAsia="楷体_GB2312" w:cs="楷体_GB2312"/>
                <w:bCs/>
                <w:color w:val="auto"/>
                <w:sz w:val="28"/>
                <w:szCs w:val="28"/>
                <w:highlight w:val="none"/>
                <w:u w:val="none"/>
                <w:lang w:val="en-US" w:eastAsia="zh-CN"/>
              </w:rPr>
              <w:t>2</w:t>
            </w:r>
            <w:r>
              <w:rPr>
                <w:rFonts w:hint="eastAsia" w:ascii="楷体_GB2312" w:hAnsi="楷体_GB2312" w:eastAsia="楷体_GB2312" w:cs="楷体_GB2312"/>
                <w:bCs/>
                <w:color w:val="auto"/>
                <w:sz w:val="28"/>
                <w:szCs w:val="28"/>
                <w:highlight w:val="none"/>
                <w:u w:val="none"/>
                <w:lang w:val="zh-CN" w:eastAsia="zh-CN"/>
              </w:rPr>
              <w:t>）农村公路，农村公路外联交通工程项目、农村公路改造提升项目；（</w:t>
            </w:r>
            <w:r>
              <w:rPr>
                <w:rFonts w:hint="eastAsia" w:ascii="楷体_GB2312" w:hAnsi="楷体_GB2312" w:eastAsia="楷体_GB2312" w:cs="楷体_GB2312"/>
                <w:bCs/>
                <w:color w:val="auto"/>
                <w:sz w:val="28"/>
                <w:szCs w:val="28"/>
                <w:highlight w:val="none"/>
                <w:u w:val="none"/>
                <w:lang w:val="en-US" w:eastAsia="zh-CN"/>
              </w:rPr>
              <w:t>3</w:t>
            </w:r>
            <w:r>
              <w:rPr>
                <w:rFonts w:hint="eastAsia" w:ascii="楷体_GB2312" w:hAnsi="楷体_GB2312" w:eastAsia="楷体_GB2312" w:cs="楷体_GB2312"/>
                <w:bCs/>
                <w:color w:val="auto"/>
                <w:sz w:val="28"/>
                <w:szCs w:val="28"/>
                <w:highlight w:val="none"/>
                <w:u w:val="none"/>
                <w:lang w:val="zh-CN" w:eastAsia="zh-CN"/>
              </w:rPr>
              <w:t>）城市道路，稼轩西路北延工程项目、银河路南延接航天大道项目、金海路南延等新建道路项目、永安路南延等新建道路项目、市政道路新建改造项目、航天大道二期项目（含航天大道和黄河大道交叉口立交项目）</w:t>
            </w:r>
          </w:p>
          <w:p w14:paraId="6233988A">
            <w:pPr>
              <w:keepNext w:val="0"/>
              <w:keepLines w:val="0"/>
              <w:pageBreakBefore w:val="0"/>
              <w:widowControl w:val="0"/>
              <w:suppressLineNumbers w:val="0"/>
              <w:shd w:val="clear"/>
              <w:kinsoku/>
              <w:wordWrap/>
              <w:overflowPunct w:val="0"/>
              <w:topLinePunct w:val="0"/>
              <w:autoSpaceDE/>
              <w:autoSpaceDN/>
              <w:bidi w:val="0"/>
              <w:adjustRightInd/>
              <w:snapToGrid/>
              <w:spacing w:beforeAutospacing="0" w:afterAutospacing="0" w:line="480" w:lineRule="exact"/>
              <w:ind w:left="0" w:leftChars="0" w:right="0" w:firstLine="562" w:firstLineChars="200"/>
              <w:jc w:val="both"/>
              <w:textAlignment w:val="auto"/>
              <w:rPr>
                <w:rFonts w:hint="eastAsia" w:ascii="楷体_GB2312" w:hAnsi="楷体_GB2312" w:eastAsia="楷体_GB2312" w:cs="楷体_GB2312"/>
                <w:b w:val="0"/>
                <w:bCs/>
                <w:color w:val="auto"/>
                <w:kern w:val="2"/>
                <w:sz w:val="28"/>
                <w:szCs w:val="28"/>
                <w:highlight w:val="none"/>
                <w:u w:val="none"/>
                <w:lang w:val="zh-CN" w:eastAsia="zh-CN" w:bidi="ar-SA"/>
              </w:rPr>
            </w:pPr>
            <w:r>
              <w:rPr>
                <w:rFonts w:hint="eastAsia" w:ascii="楷体_GB2312" w:hAnsi="楷体_GB2312" w:eastAsia="楷体_GB2312" w:cs="楷体_GB2312"/>
                <w:b/>
                <w:bCs w:val="0"/>
                <w:color w:val="auto"/>
                <w:sz w:val="28"/>
                <w:szCs w:val="28"/>
                <w:highlight w:val="none"/>
                <w:u w:val="none"/>
                <w:lang w:val="zh-CN" w:eastAsia="zh-CN"/>
              </w:rPr>
              <w:t>3.轨道交通</w:t>
            </w:r>
            <w:r>
              <w:rPr>
                <w:rFonts w:hint="eastAsia" w:ascii="楷体_GB2312" w:hAnsi="楷体_GB2312" w:eastAsia="楷体_GB2312" w:cs="楷体_GB2312"/>
                <w:bCs/>
                <w:color w:val="auto"/>
                <w:sz w:val="28"/>
                <w:szCs w:val="28"/>
                <w:highlight w:val="none"/>
                <w:u w:val="none"/>
                <w:lang w:val="zh-CN" w:eastAsia="zh-CN"/>
              </w:rPr>
              <w:t>：济滨高铁济阳站综合配套设施建设项目</w:t>
            </w:r>
          </w:p>
          <w:p w14:paraId="38136A6B">
            <w:pPr>
              <w:keepNext w:val="0"/>
              <w:keepLines w:val="0"/>
              <w:pageBreakBefore w:val="0"/>
              <w:widowControl w:val="0"/>
              <w:suppressLineNumbers w:val="0"/>
              <w:shd w:val="clear"/>
              <w:kinsoku/>
              <w:wordWrap/>
              <w:overflowPunct w:val="0"/>
              <w:topLinePunct w:val="0"/>
              <w:autoSpaceDE/>
              <w:autoSpaceDN/>
              <w:bidi w:val="0"/>
              <w:adjustRightInd/>
              <w:snapToGrid/>
              <w:spacing w:beforeAutospacing="0" w:afterAutospacing="0" w:line="480" w:lineRule="exact"/>
              <w:ind w:left="0" w:leftChars="0" w:right="0" w:firstLine="562" w:firstLineChars="200"/>
              <w:jc w:val="both"/>
              <w:textAlignment w:val="auto"/>
              <w:rPr>
                <w:rFonts w:hint="eastAsia" w:ascii="楷体_GB2312" w:hAnsi="楷体_GB2312" w:eastAsia="楷体_GB2312" w:cs="楷体_GB2312"/>
                <w:bCs/>
                <w:color w:val="auto"/>
                <w:sz w:val="28"/>
                <w:szCs w:val="28"/>
                <w:highlight w:val="none"/>
                <w:u w:val="none"/>
                <w:lang w:val="en-US" w:eastAsia="zh-CN"/>
              </w:rPr>
            </w:pPr>
            <w:r>
              <w:rPr>
                <w:rFonts w:hint="eastAsia" w:ascii="楷体_GB2312" w:hAnsi="楷体_GB2312" w:eastAsia="楷体_GB2312" w:cs="楷体_GB2312"/>
                <w:b/>
                <w:bCs w:val="0"/>
                <w:color w:val="auto"/>
                <w:sz w:val="28"/>
                <w:szCs w:val="28"/>
                <w:highlight w:val="none"/>
                <w:u w:val="none"/>
                <w:lang w:val="en-US" w:eastAsia="zh-CN"/>
              </w:rPr>
              <w:t>4.通用航空</w:t>
            </w:r>
            <w:r>
              <w:rPr>
                <w:rFonts w:hint="eastAsia" w:ascii="楷体_GB2312" w:hAnsi="楷体_GB2312" w:eastAsia="楷体_GB2312" w:cs="楷体_GB2312"/>
                <w:bCs/>
                <w:color w:val="auto"/>
                <w:sz w:val="28"/>
                <w:szCs w:val="28"/>
                <w:highlight w:val="none"/>
                <w:u w:val="none"/>
                <w:lang w:val="zh-CN" w:eastAsia="zh-CN"/>
              </w:rPr>
              <w:t>：谋划研究济阳通用机场项目、交通运输领域无人机场景应用项目</w:t>
            </w:r>
          </w:p>
        </w:tc>
      </w:tr>
    </w:tbl>
    <w:p w14:paraId="6B864494">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212" w:name="_Toc1167"/>
      <w:bookmarkStart w:id="213" w:name="_Toc5914"/>
      <w:bookmarkStart w:id="214" w:name="_Toc20984"/>
      <w:bookmarkStart w:id="215" w:name="_Toc23328"/>
      <w:bookmarkStart w:id="216" w:name="_Toc14073"/>
      <w:bookmarkStart w:id="217" w:name="_Toc9087"/>
      <w:bookmarkStart w:id="218" w:name="_Toc19077"/>
      <w:bookmarkStart w:id="219" w:name="_Toc8639"/>
      <w:r>
        <w:rPr>
          <w:rFonts w:hint="eastAsia" w:ascii="黑体" w:hAnsi="黑体" w:eastAsia="黑体" w:cs="黑体"/>
          <w:color w:val="auto"/>
          <w:highlight w:val="none"/>
          <w:lang w:val="en-US" w:eastAsia="zh-CN"/>
        </w:rPr>
        <w:t>二、增强能源保障能力</w:t>
      </w:r>
      <w:bookmarkEnd w:id="212"/>
      <w:bookmarkEnd w:id="213"/>
      <w:bookmarkEnd w:id="214"/>
      <w:bookmarkEnd w:id="215"/>
      <w:bookmarkEnd w:id="216"/>
      <w:bookmarkEnd w:id="217"/>
      <w:bookmarkEnd w:id="218"/>
      <w:bookmarkEnd w:id="219"/>
    </w:p>
    <w:p w14:paraId="1A5C873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color w:val="auto"/>
          <w:kern w:val="2"/>
          <w:szCs w:val="32"/>
          <w:highlight w:val="none"/>
          <w:lang w:val="en-US" w:eastAsia="zh-CN"/>
        </w:rPr>
      </w:pPr>
      <w:r>
        <w:rPr>
          <w:rFonts w:hint="eastAsia"/>
          <w:color w:val="auto"/>
          <w:kern w:val="2"/>
          <w:szCs w:val="32"/>
          <w:highlight w:val="none"/>
          <w:lang w:val="en-US" w:eastAsia="zh-CN"/>
        </w:rPr>
        <w:t>坚持绿色化、智能化、协同化发展路径，以能源结构低碳转型为核心，以科技创新和智慧赋能为驱动，统筹推进清洁能源开发、传统能源升级、储能体系构建和智能电网建设，着力构建清洁低碳、安全高效的新型能源体系。</w:t>
      </w:r>
    </w:p>
    <w:p w14:paraId="6D7277D8">
      <w:pPr>
        <w:keepNext w:val="0"/>
        <w:keepLines w:val="0"/>
        <w:pageBreakBefore w:val="0"/>
        <w:shd w:val="clear"/>
        <w:kinsoku/>
        <w:wordWrap/>
        <w:overflowPunct w:val="0"/>
        <w:topLinePunct w:val="0"/>
        <w:autoSpaceDE/>
        <w:autoSpaceDN/>
        <w:bidi w:val="0"/>
        <w:adjustRightInd/>
        <w:snapToGrid/>
        <w:spacing w:after="0" w:line="600" w:lineRule="exact"/>
        <w:ind w:left="0" w:leftChars="0" w:firstLine="640" w:firstLineChars="200"/>
        <w:jc w:val="both"/>
        <w:textAlignment w:val="auto"/>
        <w:outlineLvl w:val="9"/>
        <w:rPr>
          <w:rFonts w:hint="eastAsia" w:ascii="仿宋_GB2312" w:hAnsi="仿宋_GB2312" w:eastAsia="仿宋_GB2312" w:cs="仿宋_GB2312"/>
          <w:color w:val="auto"/>
          <w:kern w:val="2"/>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（一）加快构建新型电力系统。</w:t>
      </w:r>
      <w:r>
        <w:rPr>
          <w:rFonts w:hint="eastAsia" w:ascii="仿宋_GB2312" w:hAnsi="仿宋_GB2312" w:eastAsia="仿宋_GB2312" w:cs="仿宋_GB2312"/>
          <w:b w:val="0"/>
          <w:bCs w:val="0"/>
          <w:color w:val="auto"/>
          <w:spacing w:val="0"/>
          <w:kern w:val="2"/>
          <w:sz w:val="32"/>
          <w:szCs w:val="32"/>
          <w:highlight w:val="none"/>
          <w:lang w:val="en-US" w:eastAsia="zh-CN"/>
        </w:rPr>
        <w:t>着力建设多维协同的电力支撑服务系统，</w:t>
      </w:r>
      <w:r>
        <w:rPr>
          <w:rFonts w:hint="eastAsia" w:ascii="仿宋_GB2312" w:hAnsi="仿宋_GB2312" w:eastAsia="仿宋_GB2312" w:cs="仿宋_GB2312"/>
          <w:i w:val="0"/>
          <w:iCs w:val="0"/>
          <w:caps w:val="0"/>
          <w:color w:val="auto"/>
          <w:spacing w:val="0"/>
          <w:kern w:val="2"/>
          <w:sz w:val="32"/>
          <w:szCs w:val="32"/>
          <w:highlight w:val="none"/>
          <w:shd w:val="clear" w:fill="auto"/>
        </w:rPr>
        <w:t>实施坚强电力安全保障工程，建设徒河</w:t>
      </w:r>
      <w:r>
        <w:rPr>
          <w:rFonts w:hint="eastAsia" w:cs="仿宋_GB2312"/>
          <w:i w:val="0"/>
          <w:iCs w:val="0"/>
          <w:caps w:val="0"/>
          <w:color w:val="auto"/>
          <w:spacing w:val="0"/>
          <w:kern w:val="2"/>
          <w:sz w:val="32"/>
          <w:szCs w:val="32"/>
          <w:highlight w:val="none"/>
          <w:shd w:val="clear"/>
          <w:lang w:eastAsia="zh-CN" w:bidi="ar-SA"/>
        </w:rPr>
        <w:t>（</w:t>
      </w:r>
      <w:r>
        <w:rPr>
          <w:rFonts w:hint="eastAsia" w:ascii="仿宋_GB2312" w:hAnsi="仿宋_GB2312" w:eastAsia="仿宋_GB2312" w:cs="仿宋_GB2312"/>
          <w:i w:val="0"/>
          <w:iCs w:val="0"/>
          <w:caps w:val="0"/>
          <w:color w:val="auto"/>
          <w:spacing w:val="0"/>
          <w:kern w:val="2"/>
          <w:sz w:val="32"/>
          <w:szCs w:val="32"/>
          <w:highlight w:val="none"/>
          <w:shd w:val="clear" w:fill="auto"/>
        </w:rPr>
        <w:t>济阳</w:t>
      </w:r>
      <w:r>
        <w:rPr>
          <w:rFonts w:hint="eastAsia" w:cs="仿宋_GB2312"/>
          <w:i w:val="0"/>
          <w:iCs w:val="0"/>
          <w:caps w:val="0"/>
          <w:color w:val="auto"/>
          <w:spacing w:val="0"/>
          <w:kern w:val="2"/>
          <w:sz w:val="32"/>
          <w:szCs w:val="32"/>
          <w:highlight w:val="none"/>
          <w:shd w:val="clear"/>
          <w:lang w:eastAsia="zh-CN" w:bidi="ar-SA"/>
        </w:rPr>
        <w:t>）</w:t>
      </w:r>
      <w:r>
        <w:rPr>
          <w:rFonts w:hint="eastAsia" w:ascii="仿宋_GB2312" w:hAnsi="仿宋_GB2312" w:eastAsia="仿宋_GB2312" w:cs="仿宋_GB2312"/>
          <w:i w:val="0"/>
          <w:iCs w:val="0"/>
          <w:caps w:val="0"/>
          <w:color w:val="auto"/>
          <w:spacing w:val="0"/>
          <w:kern w:val="2"/>
          <w:sz w:val="32"/>
          <w:szCs w:val="32"/>
          <w:highlight w:val="none"/>
          <w:shd w:val="clear" w:fill="auto"/>
        </w:rPr>
        <w:t>220kV输变电、同德110kV输变电及济滨高铁济阳牵引站220kV外部供电等骨干项目，</w:t>
      </w:r>
      <w:r>
        <w:rPr>
          <w:rFonts w:hint="eastAsia"/>
          <w:color w:val="auto"/>
          <w:kern w:val="2"/>
          <w:szCs w:val="32"/>
          <w:highlight w:val="none"/>
          <w:lang w:val="en-US" w:eastAsia="zh-CN"/>
        </w:rPr>
        <w:t>强化主干网架承载能力</w:t>
      </w:r>
      <w:r>
        <w:rPr>
          <w:rFonts w:hint="eastAsia"/>
          <w:color w:val="auto"/>
          <w:kern w:val="2"/>
          <w:szCs w:val="32"/>
          <w:highlight w:val="none"/>
          <w:lang w:val="en-US" w:eastAsia="zh-CN" w:bidi="ar-SA"/>
        </w:rPr>
        <w:t>。</w:t>
      </w:r>
      <w:r>
        <w:rPr>
          <w:rFonts w:hint="eastAsia" w:ascii="仿宋_GB2312" w:hAnsi="仿宋_GB2312" w:eastAsia="仿宋_GB2312" w:cs="仿宋_GB2312"/>
          <w:i w:val="0"/>
          <w:iCs w:val="0"/>
          <w:caps w:val="0"/>
          <w:color w:val="auto"/>
          <w:spacing w:val="0"/>
          <w:kern w:val="2"/>
          <w:sz w:val="32"/>
          <w:szCs w:val="32"/>
          <w:highlight w:val="none"/>
          <w:shd w:val="clear" w:fill="auto"/>
        </w:rPr>
        <w:t>推进</w:t>
      </w:r>
      <w:r>
        <w:rPr>
          <w:rFonts w:hint="eastAsia" w:ascii="仿宋_GB2312" w:hAnsi="仿宋_GB2312" w:eastAsia="仿宋_GB2312" w:cs="仿宋_GB2312"/>
          <w:color w:val="auto"/>
          <w:kern w:val="2"/>
          <w:sz w:val="32"/>
          <w:szCs w:val="32"/>
          <w:highlight w:val="none"/>
          <w:lang w:val="en-US" w:eastAsia="zh-CN"/>
        </w:rPr>
        <w:t>山东济南济阳110kV变电站1号主变增容工程等项目建设</w:t>
      </w:r>
      <w:r>
        <w:rPr>
          <w:rFonts w:hint="eastAsia" w:cs="仿宋_GB2312"/>
          <w:i w:val="0"/>
          <w:iCs w:val="0"/>
          <w:caps w:val="0"/>
          <w:color w:val="auto"/>
          <w:spacing w:val="0"/>
          <w:kern w:val="2"/>
          <w:sz w:val="32"/>
          <w:szCs w:val="32"/>
          <w:highlight w:val="none"/>
          <w:shd w:val="clear"/>
          <w:lang w:val="en-US" w:eastAsia="zh-CN" w:bidi="ar-SA"/>
        </w:rPr>
        <w:t>，</w:t>
      </w:r>
      <w:r>
        <w:rPr>
          <w:rFonts w:hint="eastAsia" w:ascii="仿宋_GB2312" w:hAnsi="仿宋_GB2312" w:eastAsia="仿宋_GB2312" w:cs="仿宋_GB2312"/>
          <w:i w:val="0"/>
          <w:iCs w:val="0"/>
          <w:caps w:val="0"/>
          <w:color w:val="auto"/>
          <w:spacing w:val="0"/>
          <w:kern w:val="2"/>
          <w:sz w:val="32"/>
          <w:szCs w:val="32"/>
          <w:highlight w:val="none"/>
          <w:shd w:val="clear" w:fill="auto"/>
        </w:rPr>
        <w:t>优化区域网架结构。</w:t>
      </w:r>
      <w:r>
        <w:rPr>
          <w:rFonts w:hint="eastAsia" w:cs="仿宋_GB2312"/>
          <w:i w:val="0"/>
          <w:iCs w:val="0"/>
          <w:caps w:val="0"/>
          <w:color w:val="auto"/>
          <w:spacing w:val="0"/>
          <w:kern w:val="2"/>
          <w:sz w:val="32"/>
          <w:szCs w:val="32"/>
          <w:highlight w:val="none"/>
          <w:shd w:val="clear"/>
          <w:lang w:val="en-US" w:eastAsia="zh-CN" w:bidi="ar-SA"/>
        </w:rPr>
        <w:t>积极</w:t>
      </w:r>
      <w:r>
        <w:rPr>
          <w:rFonts w:hint="eastAsia"/>
          <w:color w:val="auto"/>
          <w:kern w:val="2"/>
          <w:szCs w:val="32"/>
          <w:highlight w:val="none"/>
          <w:lang w:val="en-US" w:eastAsia="zh-CN"/>
        </w:rPr>
        <w:t>实施</w:t>
      </w:r>
      <w:r>
        <w:rPr>
          <w:rFonts w:hint="eastAsia" w:ascii="仿宋_GB2312" w:hAnsi="仿宋_GB2312" w:eastAsia="仿宋_GB2312" w:cs="仿宋_GB2312"/>
          <w:color w:val="auto"/>
          <w:kern w:val="2"/>
          <w:sz w:val="32"/>
          <w:szCs w:val="32"/>
          <w:highlight w:val="none"/>
          <w:lang w:val="en-US" w:eastAsia="zh-CN"/>
        </w:rPr>
        <w:t>电网智能化改造</w:t>
      </w:r>
      <w:r>
        <w:rPr>
          <w:rFonts w:hint="eastAsia"/>
          <w:color w:val="auto"/>
          <w:kern w:val="2"/>
          <w:szCs w:val="32"/>
          <w:highlight w:val="none"/>
          <w:lang w:val="en-US" w:eastAsia="zh-CN"/>
        </w:rPr>
        <w:t>，</w:t>
      </w:r>
      <w:r>
        <w:rPr>
          <w:rFonts w:hint="eastAsia" w:ascii="仿宋_GB2312" w:hAnsi="仿宋_GB2312" w:eastAsia="仿宋_GB2312" w:cs="仿宋_GB2312"/>
          <w:color w:val="auto"/>
          <w:kern w:val="2"/>
          <w:sz w:val="32"/>
          <w:szCs w:val="32"/>
          <w:highlight w:val="none"/>
          <w:lang w:val="en-US" w:eastAsia="zh-CN"/>
        </w:rPr>
        <w:t>推进</w:t>
      </w:r>
      <w:r>
        <w:rPr>
          <w:rFonts w:hint="eastAsia" w:ascii="仿宋_GB2312" w:hAnsi="仿宋_GB2312" w:eastAsia="仿宋_GB2312" w:cs="仿宋_GB2312"/>
          <w:i w:val="0"/>
          <w:iCs w:val="0"/>
          <w:caps w:val="0"/>
          <w:color w:val="auto"/>
          <w:spacing w:val="0"/>
          <w:kern w:val="2"/>
          <w:sz w:val="32"/>
          <w:szCs w:val="32"/>
          <w:highlight w:val="none"/>
          <w:shd w:val="clear" w:fill="auto"/>
        </w:rPr>
        <w:t>实施曲堤、店子等35kV变电站高耗能主变更换及设备更新，</w:t>
      </w:r>
      <w:r>
        <w:rPr>
          <w:rFonts w:hint="eastAsia"/>
          <w:color w:val="auto"/>
          <w:kern w:val="2"/>
          <w:szCs w:val="32"/>
          <w:highlight w:val="none"/>
          <w:lang w:val="en-US" w:eastAsia="zh-CN"/>
        </w:rPr>
        <w:t>完善配电网和智能微电网建设。</w:t>
      </w:r>
      <w:r>
        <w:rPr>
          <w:rFonts w:hint="eastAsia" w:ascii="仿宋_GB2312" w:hAnsi="仿宋_GB2312" w:eastAsia="仿宋_GB2312" w:cs="仿宋_GB2312"/>
          <w:i w:val="0"/>
          <w:iCs w:val="0"/>
          <w:caps w:val="0"/>
          <w:color w:val="auto"/>
          <w:spacing w:val="0"/>
          <w:kern w:val="2"/>
          <w:sz w:val="32"/>
          <w:szCs w:val="32"/>
          <w:highlight w:val="none"/>
          <w:shd w:val="clear" w:fill="auto"/>
        </w:rPr>
        <w:t>实施需求响应能力提升工程，</w:t>
      </w:r>
      <w:r>
        <w:rPr>
          <w:rFonts w:hint="eastAsia" w:cs="仿宋_GB2312"/>
          <w:i w:val="0"/>
          <w:iCs w:val="0"/>
          <w:caps w:val="0"/>
          <w:color w:val="auto"/>
          <w:spacing w:val="0"/>
          <w:kern w:val="2"/>
          <w:sz w:val="32"/>
          <w:szCs w:val="32"/>
          <w:highlight w:val="none"/>
          <w:shd w:val="clear"/>
          <w:lang w:val="en-US" w:eastAsia="zh-CN" w:bidi="ar-SA"/>
        </w:rPr>
        <w:t>积极</w:t>
      </w:r>
      <w:r>
        <w:rPr>
          <w:rFonts w:hint="eastAsia" w:ascii="仿宋_GB2312" w:hAnsi="仿宋_GB2312" w:eastAsia="仿宋_GB2312" w:cs="仿宋_GB2312"/>
          <w:i w:val="0"/>
          <w:iCs w:val="0"/>
          <w:caps w:val="0"/>
          <w:color w:val="auto"/>
          <w:spacing w:val="0"/>
          <w:kern w:val="2"/>
          <w:sz w:val="32"/>
          <w:szCs w:val="32"/>
          <w:highlight w:val="none"/>
          <w:shd w:val="clear" w:fill="auto"/>
        </w:rPr>
        <w:t>探索“虚拟电厂”模式，构建需求侧灵活调节能力。</w:t>
      </w:r>
    </w:p>
    <w:p w14:paraId="427EA099">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楷体_GB2312" w:hAnsi="楷体_GB2312" w:eastAsia="楷体_GB2312" w:cs="楷体_GB2312"/>
          <w:b w:val="0"/>
          <w:bCs w:val="0"/>
          <w:color w:val="auto"/>
          <w:spacing w:val="0"/>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（二）加强化石能源清洁高效利用。</w:t>
      </w:r>
      <w:r>
        <w:rPr>
          <w:rFonts w:hint="eastAsia"/>
          <w:color w:val="auto"/>
          <w:kern w:val="2"/>
          <w:szCs w:val="32"/>
          <w:highlight w:val="none"/>
          <w:lang w:val="en-US" w:eastAsia="zh-CN"/>
        </w:rPr>
        <w:t>全面推动清洁能源供热，有序开展供暖燃煤锅炉替代。加快供热管网升级改造，重点推进济阳区地热能及供热管网设施燃煤替代项目建设，因地制宜构建以燃气、地热及新能源供热为主体的多能互补、高效协同的清洁取暖供热体系。加强区域内天然气干线管网互联互通，推进相关内联外通工程建设，构建布局合理、运行高效的天然气输送网络，保障气源稳定供应，提升天然气调配灵活性与应急保障能力，满足多领域用气需求。</w:t>
      </w:r>
    </w:p>
    <w:p w14:paraId="0A9F4EC6">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（三）完善能源输配储运体系。</w:t>
      </w:r>
      <w:r>
        <w:rPr>
          <w:rFonts w:hint="eastAsia" w:ascii="仿宋_GB2312" w:hAnsi="仿宋_GB2312" w:eastAsia="仿宋_GB2312" w:cs="仿宋_GB2312"/>
          <w:i w:val="0"/>
          <w:iCs w:val="0"/>
          <w:caps w:val="0"/>
          <w:color w:val="auto"/>
          <w:spacing w:val="0"/>
          <w:kern w:val="2"/>
          <w:sz w:val="32"/>
          <w:szCs w:val="32"/>
          <w:highlight w:val="none"/>
          <w:shd w:val="clear"/>
          <w:lang w:bidi="ar-SA"/>
        </w:rPr>
        <w:t>实施多元储能规模发展工程，</w:t>
      </w:r>
      <w:r>
        <w:rPr>
          <w:rFonts w:hint="eastAsia" w:ascii="仿宋_GB2312" w:hAnsi="仿宋_GB2312" w:eastAsia="仿宋_GB2312" w:cs="仿宋_GB2312"/>
          <w:color w:val="auto"/>
          <w:kern w:val="2"/>
          <w:sz w:val="32"/>
          <w:szCs w:val="32"/>
          <w:highlight w:val="none"/>
          <w:lang w:val="en-US" w:eastAsia="zh-CN"/>
        </w:rPr>
        <w:t>推动智慧共享储能电站、区域内变压器及配电室旁储能等储能项目尽快建成投运</w:t>
      </w:r>
      <w:r>
        <w:rPr>
          <w:rFonts w:hint="eastAsia" w:ascii="仿宋_GB2312" w:hAnsi="仿宋_GB2312" w:eastAsia="仿宋_GB2312" w:cs="仿宋_GB2312"/>
          <w:i w:val="0"/>
          <w:iCs w:val="0"/>
          <w:caps w:val="0"/>
          <w:color w:val="auto"/>
          <w:spacing w:val="0"/>
          <w:kern w:val="2"/>
          <w:sz w:val="32"/>
          <w:szCs w:val="32"/>
          <w:highlight w:val="none"/>
          <w:shd w:val="clear"/>
          <w:lang w:bidi="ar-SA"/>
        </w:rPr>
        <w:t>，增强系统调节与应急保障能力。</w:t>
      </w:r>
      <w:r>
        <w:rPr>
          <w:rFonts w:hint="eastAsia"/>
          <w:color w:val="auto"/>
          <w:kern w:val="2"/>
          <w:szCs w:val="32"/>
          <w:highlight w:val="none"/>
          <w:lang w:val="en-US" w:eastAsia="zh-CN"/>
        </w:rPr>
        <w:t>提升油气供应韧性，完善区域油气输送管网布局与设施建设，保障油气资源供应安全稳定。强化输配网络支撑，持续优化能源输配网络结构，确保能源资源高效、稳定输送。推动能源运行管理与先进信息技术深度融合，综合运用人工智能、物联网、大数据等技术，建立覆盖全区、贯通街道（镇）、园区、企业及供、储、用各环节的智慧能源互联网平台，通过对电、热、冷、气等大宗能源运行情况的实时监测分析和智能化分配调度，实现能源供给端全态势掌控和用能端降本增效。</w:t>
      </w:r>
    </w:p>
    <w:p w14:paraId="679C7307">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（四）大力发展非化石能源。</w:t>
      </w:r>
      <w:r>
        <w:rPr>
          <w:rFonts w:hint="eastAsia" w:ascii="仿宋_GB2312" w:hAnsi="仿宋_GB2312" w:eastAsia="仿宋_GB2312" w:cs="仿宋_GB2312"/>
          <w:i w:val="0"/>
          <w:iCs w:val="0"/>
          <w:caps w:val="0"/>
          <w:color w:val="auto"/>
          <w:spacing w:val="0"/>
          <w:kern w:val="2"/>
          <w:sz w:val="32"/>
          <w:szCs w:val="32"/>
          <w:highlight w:val="none"/>
          <w:shd w:val="clear"/>
          <w:lang w:bidi="ar-SA"/>
        </w:rPr>
        <w:t>统筹推进新能源开发，</w:t>
      </w:r>
      <w:r>
        <w:rPr>
          <w:rFonts w:hint="eastAsia" w:ascii="仿宋_GB2312" w:hAnsi="仿宋_GB2312" w:eastAsia="仿宋_GB2312" w:cs="仿宋_GB2312"/>
          <w:color w:val="auto"/>
          <w:kern w:val="2"/>
          <w:sz w:val="32"/>
          <w:szCs w:val="32"/>
          <w:highlight w:val="none"/>
          <w:lang w:val="en-US" w:eastAsia="zh-CN"/>
        </w:rPr>
        <w:t>持续扩大风电、光伏等可再生能源装机规模，加快</w:t>
      </w:r>
      <w:r>
        <w:rPr>
          <w:rFonts w:hint="eastAsia" w:cs="仿宋_GB2312"/>
          <w:color w:val="auto"/>
          <w:kern w:val="2"/>
          <w:sz w:val="32"/>
          <w:szCs w:val="32"/>
          <w:highlight w:val="none"/>
          <w:lang w:val="en-US" w:eastAsia="zh-CN"/>
        </w:rPr>
        <w:t>推进</w:t>
      </w:r>
      <w:r>
        <w:rPr>
          <w:rFonts w:hint="eastAsia" w:ascii="仿宋_GB2312" w:hAnsi="仿宋_GB2312" w:eastAsia="仿宋_GB2312" w:cs="仿宋_GB2312"/>
          <w:color w:val="auto"/>
          <w:kern w:val="2"/>
          <w:sz w:val="32"/>
          <w:szCs w:val="32"/>
          <w:highlight w:val="none"/>
          <w:lang w:val="en-US" w:eastAsia="zh-CN"/>
        </w:rPr>
        <w:t>光储充一体化项目等项目。以氢能发展为补充，</w:t>
      </w:r>
      <w:r>
        <w:rPr>
          <w:rFonts w:hint="eastAsia" w:cs="仿宋_GB2312"/>
          <w:color w:val="auto"/>
          <w:kern w:val="2"/>
          <w:sz w:val="32"/>
          <w:szCs w:val="32"/>
          <w:highlight w:val="none"/>
          <w:lang w:val="en-US" w:eastAsia="zh-CN"/>
        </w:rPr>
        <w:t>力争</w:t>
      </w:r>
      <w:r>
        <w:rPr>
          <w:rFonts w:hint="eastAsia" w:ascii="仿宋_GB2312" w:hAnsi="仿宋_GB2312" w:eastAsia="仿宋_GB2312" w:cs="仿宋_GB2312"/>
          <w:color w:val="auto"/>
          <w:kern w:val="2"/>
          <w:sz w:val="32"/>
          <w:szCs w:val="32"/>
          <w:highlight w:val="none"/>
          <w:lang w:val="en-US" w:eastAsia="zh-CN"/>
        </w:rPr>
        <w:t>推动液态阳光绿色能源基地项目落地实施，逐步构建“风</w:t>
      </w:r>
      <w:r>
        <w:rPr>
          <w:rFonts w:hint="eastAsia" w:cs="仿宋_GB2312"/>
          <w:color w:val="auto"/>
          <w:kern w:val="2"/>
          <w:sz w:val="32"/>
          <w:szCs w:val="32"/>
          <w:highlight w:val="none"/>
          <w:lang w:val="en-US" w:eastAsia="zh-CN"/>
        </w:rPr>
        <w:t>-</w:t>
      </w:r>
      <w:r>
        <w:rPr>
          <w:rFonts w:hint="eastAsia" w:ascii="仿宋_GB2312" w:hAnsi="仿宋_GB2312" w:eastAsia="仿宋_GB2312" w:cs="仿宋_GB2312"/>
          <w:color w:val="auto"/>
          <w:kern w:val="2"/>
          <w:sz w:val="32"/>
          <w:szCs w:val="32"/>
          <w:highlight w:val="none"/>
          <w:lang w:val="en-US" w:eastAsia="zh-CN"/>
        </w:rPr>
        <w:t>光</w:t>
      </w:r>
      <w:r>
        <w:rPr>
          <w:rFonts w:hint="eastAsia" w:cs="仿宋_GB2312"/>
          <w:color w:val="auto"/>
          <w:kern w:val="2"/>
          <w:sz w:val="32"/>
          <w:szCs w:val="32"/>
          <w:highlight w:val="none"/>
          <w:lang w:val="en-US" w:eastAsia="zh-CN"/>
        </w:rPr>
        <w:t>-</w:t>
      </w:r>
      <w:r>
        <w:rPr>
          <w:rFonts w:hint="eastAsia" w:ascii="仿宋_GB2312" w:hAnsi="仿宋_GB2312" w:eastAsia="仿宋_GB2312" w:cs="仿宋_GB2312"/>
          <w:color w:val="auto"/>
          <w:kern w:val="2"/>
          <w:sz w:val="32"/>
          <w:szCs w:val="32"/>
          <w:highlight w:val="none"/>
          <w:lang w:val="en-US" w:eastAsia="zh-CN"/>
        </w:rPr>
        <w:t>储</w:t>
      </w:r>
      <w:r>
        <w:rPr>
          <w:rFonts w:hint="eastAsia" w:cs="仿宋_GB2312"/>
          <w:color w:val="auto"/>
          <w:kern w:val="2"/>
          <w:sz w:val="32"/>
          <w:szCs w:val="32"/>
          <w:highlight w:val="none"/>
          <w:lang w:val="en-US" w:eastAsia="zh-CN"/>
        </w:rPr>
        <w:t>-</w:t>
      </w:r>
      <w:r>
        <w:rPr>
          <w:rFonts w:hint="eastAsia" w:ascii="仿宋_GB2312" w:hAnsi="仿宋_GB2312" w:eastAsia="仿宋_GB2312" w:cs="仿宋_GB2312"/>
          <w:color w:val="auto"/>
          <w:kern w:val="2"/>
          <w:sz w:val="32"/>
          <w:szCs w:val="32"/>
          <w:highlight w:val="none"/>
          <w:lang w:val="en-US" w:eastAsia="zh-CN"/>
        </w:rPr>
        <w:t>氢</w:t>
      </w:r>
      <w:r>
        <w:rPr>
          <w:rFonts w:hint="eastAsia" w:cs="仿宋_GB2312"/>
          <w:color w:val="auto"/>
          <w:kern w:val="2"/>
          <w:sz w:val="32"/>
          <w:szCs w:val="32"/>
          <w:highlight w:val="none"/>
          <w:lang w:val="en-US" w:eastAsia="zh-CN"/>
        </w:rPr>
        <w:t>-</w:t>
      </w:r>
      <w:r>
        <w:rPr>
          <w:rFonts w:hint="eastAsia" w:ascii="仿宋_GB2312" w:hAnsi="仿宋_GB2312" w:eastAsia="仿宋_GB2312" w:cs="仿宋_GB2312"/>
          <w:color w:val="auto"/>
          <w:kern w:val="2"/>
          <w:sz w:val="32"/>
          <w:szCs w:val="32"/>
          <w:highlight w:val="none"/>
          <w:lang w:val="en-US" w:eastAsia="zh-CN"/>
        </w:rPr>
        <w:t>网”协同发展、多能互补的新型能源体系。因地制宜开发地热能等，实施回河街道“地热能</w:t>
      </w:r>
      <w:r>
        <w:rPr>
          <w:rFonts w:hint="eastAsia" w:cs="仿宋_GB2312"/>
          <w:color w:val="auto"/>
          <w:kern w:val="2"/>
          <w:sz w:val="32"/>
          <w:szCs w:val="32"/>
          <w:highlight w:val="none"/>
          <w:lang w:val="en-US" w:eastAsia="zh-CN"/>
        </w:rPr>
        <w:t>＋</w:t>
      </w:r>
      <w:r>
        <w:rPr>
          <w:rFonts w:hint="eastAsia" w:ascii="仿宋_GB2312" w:hAnsi="仿宋_GB2312" w:eastAsia="仿宋_GB2312" w:cs="仿宋_GB2312"/>
          <w:color w:val="auto"/>
          <w:kern w:val="2"/>
          <w:sz w:val="32"/>
          <w:szCs w:val="32"/>
          <w:highlight w:val="none"/>
          <w:lang w:val="en-US" w:eastAsia="zh-CN"/>
        </w:rPr>
        <w:t>”多能互补供热示范工程。</w:t>
      </w:r>
      <w:r>
        <w:rPr>
          <w:rFonts w:hint="eastAsia"/>
          <w:color w:val="auto"/>
          <w:kern w:val="2"/>
          <w:szCs w:val="32"/>
          <w:highlight w:val="none"/>
          <w:lang w:val="en-US" w:eastAsia="zh-CN"/>
        </w:rPr>
        <w:t>完善绿色能源消纳激励机制，引导社会资本参与清洁能源基础设施建设。优化绿色电力资源配置，重点保障高载能、高附加值产业用电需求，推动区域绿色低碳高质量发展。</w:t>
      </w:r>
    </w:p>
    <w:p w14:paraId="262D6F08">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0" w:firstLineChars="0"/>
        <w:jc w:val="center"/>
        <w:textAlignment w:val="auto"/>
        <w:outlineLvl w:val="2"/>
        <w:rPr>
          <w:rFonts w:hint="eastAsia" w:ascii="楷体_GB2312" w:hAnsi="楷体_GB2312" w:eastAsia="楷体_GB2312" w:cs="楷体_GB2312"/>
          <w:b w:val="0"/>
          <w:bCs w:val="0"/>
          <w:color w:val="auto"/>
          <w:spacing w:val="0"/>
          <w:kern w:val="2"/>
          <w:sz w:val="28"/>
          <w:szCs w:val="28"/>
          <w:highlight w:val="none"/>
          <w:lang w:val="en-US" w:eastAsia="zh-CN"/>
        </w:rPr>
      </w:pPr>
      <w:bookmarkStart w:id="220" w:name="_Toc9830"/>
      <w:r>
        <w:rPr>
          <w:rFonts w:hint="eastAsia" w:ascii="楷体_GB2312" w:hAnsi="楷体_GB2312" w:eastAsia="楷体_GB2312" w:cs="楷体_GB2312"/>
          <w:b w:val="0"/>
          <w:bCs w:val="0"/>
          <w:color w:val="auto"/>
          <w:spacing w:val="0"/>
          <w:kern w:val="2"/>
          <w:sz w:val="28"/>
          <w:szCs w:val="28"/>
          <w:highlight w:val="none"/>
          <w:lang w:val="en-US" w:eastAsia="zh-CN"/>
        </w:rPr>
        <w:t>专栏8  能源领域重点项目</w:t>
      </w:r>
      <w:bookmarkEnd w:id="220"/>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657D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Borders>
              <w:left w:val="nil"/>
              <w:right w:val="nil"/>
            </w:tcBorders>
          </w:tcPr>
          <w:p w14:paraId="55A795F1">
            <w:pPr>
              <w:keepNext w:val="0"/>
              <w:keepLines w:val="0"/>
              <w:pageBreakBefore w:val="0"/>
              <w:widowControl w:val="0"/>
              <w:shd w:val="clear"/>
              <w:kinsoku/>
              <w:wordWrap/>
              <w:overflowPunct w:val="0"/>
              <w:topLinePunct w:val="0"/>
              <w:autoSpaceDE/>
              <w:autoSpaceDN/>
              <w:bidi w:val="0"/>
              <w:adjustRightInd w:val="0"/>
              <w:snapToGrid w:val="0"/>
              <w:spacing w:line="480" w:lineRule="exact"/>
              <w:jc w:val="both"/>
              <w:textAlignment w:val="auto"/>
              <w:rPr>
                <w:rFonts w:hint="default" w:ascii="楷体_GB2312" w:hAnsi="楷体_GB2312" w:eastAsia="楷体_GB2312" w:cs="楷体_GB2312"/>
                <w:color w:val="auto"/>
                <w:sz w:val="28"/>
                <w:szCs w:val="28"/>
                <w:highlight w:val="none"/>
                <w:lang w:val="en-US" w:eastAsia="zh-CN"/>
              </w:rPr>
            </w:pPr>
            <w:r>
              <w:rPr>
                <w:rFonts w:hint="eastAsia" w:ascii="楷体_GB2312" w:hAnsi="楷体_GB2312" w:eastAsia="楷体_GB2312" w:cs="楷体_GB2312"/>
                <w:color w:val="auto"/>
                <w:sz w:val="28"/>
                <w:szCs w:val="28"/>
                <w:highlight w:val="none"/>
                <w:lang w:val="en-US" w:eastAsia="zh-CN"/>
              </w:rPr>
              <w:t>山东济南徒河（济阳）220kV输变电工程、200MW渔光互补＋道路光伏发电项目、区域内变压器及配电室旁储能项目、济阳区地热能及供热管网设备设施燃煤替代项目、101MW/204MWh智慧共享储能电站项目、济阳区光储充一体化项目、回河街道“地热能＋”多能互补供热工程。</w:t>
            </w:r>
          </w:p>
        </w:tc>
      </w:tr>
    </w:tbl>
    <w:p w14:paraId="0DDA2730">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221" w:name="_Toc14346"/>
      <w:bookmarkStart w:id="222" w:name="_Toc13864"/>
      <w:bookmarkStart w:id="223" w:name="_Toc30744"/>
      <w:bookmarkStart w:id="224" w:name="_Toc2523"/>
      <w:bookmarkStart w:id="225" w:name="_Toc11223"/>
      <w:bookmarkStart w:id="226" w:name="_Toc26044"/>
      <w:bookmarkStart w:id="227" w:name="_Toc13322"/>
      <w:bookmarkStart w:id="228" w:name="_Toc1722"/>
      <w:r>
        <w:rPr>
          <w:rFonts w:hint="eastAsia" w:ascii="黑体" w:hAnsi="黑体" w:eastAsia="黑体" w:cs="黑体"/>
          <w:color w:val="auto"/>
          <w:highlight w:val="none"/>
          <w:lang w:val="en-US" w:eastAsia="zh-CN"/>
        </w:rPr>
        <w:t>三、强化水利安全保障</w:t>
      </w:r>
      <w:bookmarkEnd w:id="221"/>
      <w:bookmarkEnd w:id="222"/>
      <w:bookmarkEnd w:id="223"/>
      <w:bookmarkEnd w:id="224"/>
      <w:bookmarkEnd w:id="225"/>
      <w:bookmarkEnd w:id="226"/>
      <w:bookmarkEnd w:id="227"/>
      <w:bookmarkEnd w:id="228"/>
    </w:p>
    <w:p w14:paraId="4FC7F022">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color w:val="auto"/>
          <w:kern w:val="2"/>
          <w:szCs w:val="32"/>
          <w:highlight w:val="none"/>
          <w:lang w:val="en-US" w:eastAsia="zh-CN"/>
        </w:rPr>
        <w:t>立足黄河流域生态保护和高质量发展战略，统筹水安全、水资源、水生态治理，构建“系统完备、均衡高效、智慧韧性”的现代水网体系。</w:t>
      </w:r>
    </w:p>
    <w:p w14:paraId="7033070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eastAsia="仿宋_GB2312"/>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（一）完善防洪减灾体系。</w:t>
      </w:r>
      <w:r>
        <w:rPr>
          <w:rFonts w:hint="eastAsia" w:ascii="仿宋_GB2312" w:hAnsi="仿宋_GB2312" w:eastAsia="仿宋_GB2312" w:cs="仿宋_GB2312"/>
          <w:i w:val="0"/>
          <w:iCs w:val="0"/>
          <w:caps w:val="0"/>
          <w:color w:val="auto"/>
          <w:spacing w:val="0"/>
          <w:kern w:val="2"/>
          <w:sz w:val="32"/>
          <w:szCs w:val="32"/>
          <w:highlight w:val="none"/>
          <w:shd w:val="clear" w:fill="auto"/>
        </w:rPr>
        <w:t>筑牢城区防洪排涝屏障，系统推进雨水、污水管网及内涝点整治，加快老旧管网更新改造，提升管网排水能力和雨污分流水平</w:t>
      </w:r>
      <w:r>
        <w:rPr>
          <w:rFonts w:hint="eastAsia" w:cs="仿宋_GB2312"/>
          <w:i w:val="0"/>
          <w:iCs w:val="0"/>
          <w:caps w:val="0"/>
          <w:color w:val="auto"/>
          <w:spacing w:val="0"/>
          <w:kern w:val="2"/>
          <w:sz w:val="32"/>
          <w:szCs w:val="32"/>
          <w:highlight w:val="none"/>
          <w:shd w:val="clear" w:fill="auto"/>
          <w:lang w:eastAsia="zh-CN"/>
        </w:rPr>
        <w:t>，</w:t>
      </w:r>
      <w:r>
        <w:rPr>
          <w:rFonts w:hint="eastAsia" w:cs="仿宋_GB2312"/>
          <w:i w:val="0"/>
          <w:iCs w:val="0"/>
          <w:caps w:val="0"/>
          <w:color w:val="auto"/>
          <w:spacing w:val="0"/>
          <w:kern w:val="2"/>
          <w:sz w:val="32"/>
          <w:szCs w:val="32"/>
          <w:highlight w:val="none"/>
          <w:shd w:val="clear" w:fill="auto"/>
          <w:lang w:val="en-US" w:eastAsia="zh-CN"/>
        </w:rPr>
        <w:t>推动</w:t>
      </w:r>
      <w:r>
        <w:rPr>
          <w:rFonts w:hint="eastAsia" w:ascii="仿宋_GB2312" w:hAnsi="仿宋_GB2312" w:eastAsia="仿宋_GB2312" w:cs="仿宋_GB2312"/>
          <w:i w:val="0"/>
          <w:iCs w:val="0"/>
          <w:caps w:val="0"/>
          <w:color w:val="auto"/>
          <w:spacing w:val="0"/>
          <w:kern w:val="2"/>
          <w:sz w:val="32"/>
          <w:szCs w:val="32"/>
          <w:highlight w:val="none"/>
          <w:shd w:val="clear" w:fill="auto"/>
        </w:rPr>
        <w:t>济阳街道工业园区自来水主管道改造、雨污分流项目</w:t>
      </w:r>
      <w:r>
        <w:rPr>
          <w:rFonts w:hint="eastAsia" w:cs="仿宋_GB2312"/>
          <w:i w:val="0"/>
          <w:iCs w:val="0"/>
          <w:caps w:val="0"/>
          <w:color w:val="auto"/>
          <w:spacing w:val="0"/>
          <w:kern w:val="2"/>
          <w:sz w:val="32"/>
          <w:szCs w:val="32"/>
          <w:highlight w:val="none"/>
          <w:shd w:val="clear" w:fill="auto"/>
          <w:lang w:val="en-US" w:eastAsia="zh-CN"/>
        </w:rPr>
        <w:t>建设</w:t>
      </w:r>
      <w:r>
        <w:rPr>
          <w:rFonts w:hint="eastAsia" w:cs="仿宋_GB2312"/>
          <w:i w:val="0"/>
          <w:iCs w:val="0"/>
          <w:caps w:val="0"/>
          <w:color w:val="auto"/>
          <w:spacing w:val="0"/>
          <w:kern w:val="2"/>
          <w:sz w:val="32"/>
          <w:szCs w:val="32"/>
          <w:highlight w:val="none"/>
          <w:shd w:val="clear" w:fill="auto"/>
          <w:lang w:eastAsia="zh-CN"/>
        </w:rPr>
        <w:t>，</w:t>
      </w:r>
      <w:r>
        <w:rPr>
          <w:rFonts w:hint="eastAsia"/>
          <w:color w:val="auto"/>
          <w:kern w:val="2"/>
          <w:szCs w:val="32"/>
          <w:highlight w:val="none"/>
          <w:lang w:val="en-US" w:eastAsia="zh-CN"/>
        </w:rPr>
        <w:t>重点实施城区主要支排系统扩建与连通工程，全面提升城市防涝能力。</w:t>
      </w:r>
      <w:r>
        <w:rPr>
          <w:rFonts w:hint="eastAsia" w:ascii="仿宋_GB2312" w:hAnsi="仿宋_GB2312" w:eastAsia="仿宋_GB2312" w:cs="仿宋_GB2312"/>
          <w:i w:val="0"/>
          <w:iCs w:val="0"/>
          <w:caps w:val="0"/>
          <w:color w:val="auto"/>
          <w:spacing w:val="0"/>
          <w:kern w:val="2"/>
          <w:sz w:val="32"/>
          <w:szCs w:val="32"/>
          <w:highlight w:val="none"/>
          <w:shd w:val="clear" w:fill="auto"/>
        </w:rPr>
        <w:t>统筹推进节制闸、引黄闸等水利设施修复与智能化更新，优化调度能力，保障引排水安全高效。</w:t>
      </w:r>
      <w:r>
        <w:rPr>
          <w:rFonts w:hint="eastAsia"/>
          <w:color w:val="auto"/>
          <w:kern w:val="2"/>
          <w:szCs w:val="32"/>
          <w:highlight w:val="none"/>
          <w:lang w:val="en-US" w:eastAsia="zh-CN"/>
        </w:rPr>
        <w:t>强化黄河安澜防线，加强防洪工程修复与防汛队伍建设，预置抢险物资设备，提升险情处置能力。</w:t>
      </w:r>
      <w:r>
        <w:rPr>
          <w:rFonts w:hint="eastAsia" w:ascii="仿宋_GB2312" w:hAnsi="仿宋_GB2312" w:eastAsia="仿宋_GB2312" w:cs="仿宋_GB2312"/>
          <w:i w:val="0"/>
          <w:iCs w:val="0"/>
          <w:caps w:val="0"/>
          <w:color w:val="auto"/>
          <w:spacing w:val="0"/>
          <w:kern w:val="2"/>
          <w:sz w:val="32"/>
          <w:szCs w:val="32"/>
          <w:highlight w:val="none"/>
          <w:shd w:val="clear" w:fill="auto"/>
        </w:rPr>
        <w:t>统筹推进</w:t>
      </w:r>
      <w:r>
        <w:rPr>
          <w:rFonts w:hint="eastAsia" w:cs="仿宋_GB2312"/>
          <w:i w:val="0"/>
          <w:iCs w:val="0"/>
          <w:caps w:val="0"/>
          <w:color w:val="auto"/>
          <w:spacing w:val="0"/>
          <w:kern w:val="2"/>
          <w:sz w:val="32"/>
          <w:szCs w:val="32"/>
          <w:highlight w:val="none"/>
          <w:shd w:val="clear" w:fill="auto"/>
          <w:lang w:eastAsia="zh-CN"/>
        </w:rPr>
        <w:t>济南新旧动能转换起步区</w:t>
      </w:r>
      <w:r>
        <w:rPr>
          <w:rFonts w:hint="eastAsia" w:ascii="仿宋_GB2312" w:hAnsi="仿宋_GB2312" w:eastAsia="仿宋_GB2312" w:cs="仿宋_GB2312"/>
          <w:i w:val="0"/>
          <w:iCs w:val="0"/>
          <w:caps w:val="0"/>
          <w:color w:val="auto"/>
          <w:spacing w:val="0"/>
          <w:kern w:val="2"/>
          <w:sz w:val="32"/>
          <w:szCs w:val="32"/>
          <w:highlight w:val="none"/>
          <w:shd w:val="clear" w:fill="auto"/>
        </w:rPr>
        <w:t>与济阳区跨界河道协同治理，系统谋划实施大寺河、牧马河、齐济河、青宁沟、簸箕刘沟及支沟、垛石河及支沟6条跨区域河道综合治理工程，全面提升流域防洪排涝能力</w:t>
      </w:r>
      <w:r>
        <w:rPr>
          <w:rFonts w:hint="eastAsia" w:cs="仿宋_GB2312"/>
          <w:i w:val="0"/>
          <w:iCs w:val="0"/>
          <w:caps w:val="0"/>
          <w:color w:val="auto"/>
          <w:spacing w:val="0"/>
          <w:kern w:val="2"/>
          <w:sz w:val="32"/>
          <w:szCs w:val="32"/>
          <w:highlight w:val="none"/>
          <w:shd w:val="clear"/>
          <w:lang w:eastAsia="zh-CN"/>
        </w:rPr>
        <w:t>。</w:t>
      </w:r>
    </w:p>
    <w:p w14:paraId="6996BABE">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（二）优化区域水资源配置体系。</w:t>
      </w:r>
      <w:r>
        <w:rPr>
          <w:rFonts w:hint="eastAsia"/>
          <w:color w:val="auto"/>
          <w:kern w:val="2"/>
          <w:szCs w:val="32"/>
          <w:highlight w:val="none"/>
          <w:lang w:val="en-US" w:eastAsia="zh-CN"/>
        </w:rPr>
        <w:t>构建以稍门水库、沟杨水源地及太平水库为骨干水源，以邢家渡、张辛、葛店、沟杨四大引黄灌区为支撑的区域水资源调配格局。谋划实施沟杨水源地地下水资源开发利用工程，缓解公共供水压力。统筹推进再生水利用推广，健全完善价格机制，谋划配套基础设施建设，鼓励使用再生水。织密水资源调配网络，依托“五横多纵”河网骨架，串联徒骇河、垛石河等河渠，构建多源互补、丰枯调剂的水资源配置体系。</w:t>
      </w:r>
    </w:p>
    <w:p w14:paraId="58840B40">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（三）完善供排水设施体系。</w:t>
      </w:r>
      <w:r>
        <w:rPr>
          <w:rFonts w:hint="eastAsia"/>
          <w:color w:val="auto"/>
          <w:kern w:val="2"/>
          <w:szCs w:val="32"/>
          <w:highlight w:val="none"/>
          <w:lang w:val="en-US" w:eastAsia="zh-CN"/>
        </w:rPr>
        <w:t>系统推进供排水厂网设施建设和改造升级，全面提升水资源保障与利用效能。重点建设太平水库至城区供水管网及配套净水厂，谋划建设稍门水厂二期建设，增强城乡供水保障能力。统筹推进排水系统升级，适时启动第二污水处理厂二期工程，扩建城区污水处理厂并配套建设中水回用管网，提升污水处理与资源化利用水平。有序推进城区老旧小区供水设施升级改造，提升改造供水管网，安装远传智能水表，全面提升居民住宅小区供水智能化、信息化水平。强化农村供水设施运维管护，及时为新增用户安装智能水表、更新供水管网，持续提高农村供水保障服务水平。全面开展公共供水管网漏损治理，强化设施智慧运维，构建安全高效、绿色低碳的现代化水网体系。积极研究谋划地下水配置利用，鼓励引导企业充分利用地下水资源，协调大桥水厂应急供水保障，完善城乡供水应急体系。</w:t>
      </w:r>
    </w:p>
    <w:p w14:paraId="3175F109">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0" w:firstLineChars="0"/>
        <w:jc w:val="center"/>
        <w:textAlignment w:val="auto"/>
        <w:outlineLvl w:val="2"/>
        <w:rPr>
          <w:rFonts w:hint="eastAsia" w:ascii="楷体_GB2312" w:hAnsi="楷体_GB2312" w:eastAsia="楷体_GB2312" w:cs="楷体_GB2312"/>
          <w:b w:val="0"/>
          <w:bCs w:val="0"/>
          <w:color w:val="auto"/>
          <w:spacing w:val="0"/>
          <w:kern w:val="2"/>
          <w:sz w:val="28"/>
          <w:szCs w:val="28"/>
          <w:highlight w:val="none"/>
          <w:lang w:val="en-US" w:eastAsia="zh-CN"/>
        </w:rPr>
      </w:pPr>
      <w:bookmarkStart w:id="229" w:name="_Toc11594"/>
      <w:r>
        <w:rPr>
          <w:rFonts w:hint="eastAsia" w:ascii="楷体_GB2312" w:hAnsi="楷体_GB2312" w:eastAsia="楷体_GB2312" w:cs="楷体_GB2312"/>
          <w:b w:val="0"/>
          <w:bCs w:val="0"/>
          <w:color w:val="auto"/>
          <w:spacing w:val="0"/>
          <w:kern w:val="2"/>
          <w:sz w:val="28"/>
          <w:szCs w:val="28"/>
          <w:highlight w:val="none"/>
          <w:lang w:val="en-US" w:eastAsia="zh-CN"/>
        </w:rPr>
        <w:t>专栏9  水务领域重点建设项目</w:t>
      </w:r>
      <w:bookmarkEnd w:id="229"/>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4F4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left w:val="nil"/>
              <w:right w:val="nil"/>
            </w:tcBorders>
          </w:tcPr>
          <w:p w14:paraId="3E33827A">
            <w:pPr>
              <w:keepNext w:val="0"/>
              <w:keepLines w:val="0"/>
              <w:pageBreakBefore w:val="0"/>
              <w:widowControl w:val="0"/>
              <w:shd w:val="clear"/>
              <w:kinsoku/>
              <w:wordWrap/>
              <w:overflowPunct w:val="0"/>
              <w:topLinePunct w:val="0"/>
              <w:autoSpaceDE/>
              <w:autoSpaceDN/>
              <w:bidi w:val="0"/>
              <w:adjustRightInd w:val="0"/>
              <w:snapToGrid w:val="0"/>
              <w:spacing w:line="480" w:lineRule="exact"/>
              <w:jc w:val="both"/>
              <w:textAlignment w:val="auto"/>
              <w:rPr>
                <w:rFonts w:hint="default" w:ascii="仿宋_GB2312" w:hAnsi="仿宋_GB2312" w:eastAsia="仿宋_GB2312" w:cs="仿宋_GB2312"/>
                <w:color w:val="auto"/>
                <w:kern w:val="0"/>
                <w:sz w:val="32"/>
                <w:szCs w:val="32"/>
                <w:highlight w:val="none"/>
                <w:vertAlign w:val="baseline"/>
                <w:lang w:val="en-US" w:eastAsia="zh-CN" w:bidi="ar"/>
              </w:rPr>
            </w:pPr>
            <w:r>
              <w:rPr>
                <w:rFonts w:hint="eastAsia" w:ascii="楷体_GB2312" w:hAnsi="楷体_GB2312" w:eastAsia="楷体_GB2312" w:cs="楷体_GB2312"/>
                <w:color w:val="auto"/>
                <w:kern w:val="2"/>
                <w:sz w:val="28"/>
                <w:szCs w:val="28"/>
                <w:highlight w:val="none"/>
                <w:vertAlign w:val="baseline"/>
                <w:lang w:val="en-US" w:eastAsia="zh-CN" w:bidi="ar"/>
              </w:rPr>
              <w:t>济阳区防汛排涝工程、济阳西部城区排水防涝建设项目、济阳区徒骇河防洪提升工程、张辛灌区续建配套与现代化改造项目、沟杨灌区续建配套与现代化改造项目、济阳区与起步区跨界河道综合治理工程、青宁沟综合治理工程、济南市太平水库至济阳引调水工程、济阳区地下水供水厂、“十五五”黄河下游防洪工程（济阳段）、济阳供排水管网提升改造一期建设项目。</w:t>
            </w:r>
          </w:p>
        </w:tc>
      </w:tr>
    </w:tbl>
    <w:p w14:paraId="063B455C">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230" w:name="_Toc19559"/>
      <w:bookmarkStart w:id="231" w:name="_Toc6387"/>
      <w:bookmarkStart w:id="232" w:name="_Toc9611"/>
      <w:bookmarkStart w:id="233" w:name="_Toc2251"/>
      <w:bookmarkStart w:id="234" w:name="_Toc242"/>
      <w:bookmarkStart w:id="235" w:name="_Toc21311"/>
      <w:bookmarkStart w:id="236" w:name="_Toc17650"/>
      <w:bookmarkStart w:id="237" w:name="_Toc24285"/>
      <w:r>
        <w:rPr>
          <w:rFonts w:hint="eastAsia" w:ascii="黑体" w:hAnsi="黑体" w:eastAsia="黑体" w:cs="黑体"/>
          <w:color w:val="auto"/>
          <w:highlight w:val="none"/>
          <w:lang w:val="en-US" w:eastAsia="zh-CN"/>
        </w:rPr>
        <w:t>四、推进新型基础设施建设</w:t>
      </w:r>
      <w:bookmarkEnd w:id="230"/>
      <w:bookmarkEnd w:id="231"/>
      <w:bookmarkEnd w:id="232"/>
      <w:bookmarkEnd w:id="233"/>
      <w:bookmarkEnd w:id="234"/>
      <w:bookmarkEnd w:id="235"/>
      <w:bookmarkEnd w:id="236"/>
      <w:bookmarkEnd w:id="237"/>
    </w:p>
    <w:p w14:paraId="6BD66D29">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color w:val="auto"/>
          <w:kern w:val="2"/>
          <w:szCs w:val="32"/>
          <w:highlight w:val="none"/>
          <w:lang w:val="en-US" w:eastAsia="zh-CN"/>
        </w:rPr>
      </w:pPr>
      <w:r>
        <w:rPr>
          <w:rFonts w:hint="eastAsia"/>
          <w:color w:val="auto"/>
          <w:kern w:val="2"/>
          <w:szCs w:val="32"/>
          <w:highlight w:val="none"/>
          <w:lang w:val="en-US" w:eastAsia="zh-CN"/>
        </w:rPr>
        <w:t>以“全域感知、智能融合、绿色安全”为导向，构建高速泛在、空天地一体、云网融合等的新一代数字基础设施体系，全面推动经济社会各领域数字化转型，合力打造“数智济阳”。</w:t>
      </w:r>
    </w:p>
    <w:p w14:paraId="01B84B61">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（一）信息通信网络升级行动。</w:t>
      </w:r>
      <w:r>
        <w:rPr>
          <w:rFonts w:hint="eastAsia"/>
          <w:color w:val="auto"/>
          <w:kern w:val="2"/>
          <w:szCs w:val="32"/>
          <w:highlight w:val="none"/>
          <w:lang w:val="en-US" w:eastAsia="zh-CN"/>
        </w:rPr>
        <w:t>实现城区、园区及行政村5G网络深度覆盖，持续扩大基站规模，持续推进“双千兆”网络协同发展。前瞻布局6G网络，在重点产业区域开展前沿技术探索，支撑工业互联网、智能网联等场景应用。推动5G全连接工厂规模化落地，在优势产业领域打造省级工业互联网创新应用项目，赋能柔性生产与智能运维。全面部署IPv6＋创新技术，提升政务云、数据中心及骨干网络IPv6应用水平。新增企业专线全面支持新一代网络协议，增强运算服务能力。推进万兆光网进园区，在重点产业园区部署全光网络底座，显著提升企业接入速率与传输效率，巩固千兆城市建设成果。建设全域物联感知平台，扩大窄带物联网基站覆盖范围，接入城市治理、生态环保等领域海量终端节点。</w:t>
      </w:r>
    </w:p>
    <w:p w14:paraId="360E24DE">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w:t>
      </w:r>
      <w:r>
        <w:rPr>
          <w:rFonts w:hint="default" w:ascii="楷体_GB2312" w:hAnsi="楷体_GB2312" w:eastAsia="楷体_GB2312" w:cs="楷体_GB2312"/>
          <w:b w:val="0"/>
          <w:bCs w:val="0"/>
          <w:color w:val="auto"/>
          <w:spacing w:val="0"/>
          <w:sz w:val="32"/>
          <w:szCs w:val="32"/>
          <w:highlight w:val="none"/>
          <w:lang w:val="en-US" w:eastAsia="zh-CN"/>
        </w:rPr>
        <w:t>空间信息基础设施布局</w:t>
      </w:r>
      <w:r>
        <w:rPr>
          <w:rFonts w:hint="eastAsia" w:ascii="楷体_GB2312" w:hAnsi="楷体_GB2312" w:eastAsia="楷体_GB2312" w:cs="楷体_GB2312"/>
          <w:b w:val="0"/>
          <w:bCs w:val="0"/>
          <w:color w:val="auto"/>
          <w:spacing w:val="0"/>
          <w:sz w:val="32"/>
          <w:szCs w:val="32"/>
          <w:highlight w:val="none"/>
          <w:lang w:val="en-US" w:eastAsia="zh-CN"/>
        </w:rPr>
        <w:t>。</w:t>
      </w:r>
      <w:r>
        <w:rPr>
          <w:rFonts w:hint="default"/>
          <w:color w:val="auto"/>
          <w:kern w:val="2"/>
          <w:szCs w:val="32"/>
          <w:highlight w:val="none"/>
          <w:lang w:val="en-US" w:eastAsia="zh-CN"/>
        </w:rPr>
        <w:t>布局无人机通信节点，支撑防汛巡查、农业服务、智慧物流等场景应用。协同区域卫星资源，增强北斗定位服务能力</w:t>
      </w:r>
      <w:r>
        <w:rPr>
          <w:rFonts w:hint="eastAsia"/>
          <w:color w:val="auto"/>
          <w:kern w:val="2"/>
          <w:szCs w:val="32"/>
          <w:highlight w:val="none"/>
          <w:lang w:val="en-US" w:eastAsia="zh-CN"/>
        </w:rPr>
        <w:t>，</w:t>
      </w:r>
      <w:r>
        <w:rPr>
          <w:rFonts w:hint="default"/>
          <w:color w:val="auto"/>
          <w:kern w:val="2"/>
          <w:szCs w:val="32"/>
          <w:highlight w:val="none"/>
          <w:lang w:val="en-US" w:eastAsia="zh-CN"/>
        </w:rPr>
        <w:t>探索遥感数据在生态监测、灾害预警等领域的深度应用。建立动态监管、公共参与国土空间规划的机制，加快建立完善国土空间基础信息平台，形成国土空间规划“一张图”</w:t>
      </w:r>
      <w:r>
        <w:rPr>
          <w:rFonts w:hint="eastAsia"/>
          <w:color w:val="auto"/>
          <w:kern w:val="2"/>
          <w:szCs w:val="32"/>
          <w:highlight w:val="none"/>
          <w:lang w:val="en-US" w:eastAsia="zh-CN"/>
        </w:rPr>
        <w:t>。</w:t>
      </w:r>
      <w:r>
        <w:rPr>
          <w:rFonts w:ascii="仿宋_GB2312" w:hAnsi="仿宋_GB2312" w:eastAsia="仿宋_GB2312" w:cs="仿宋_GB2312"/>
          <w:b w:val="0"/>
          <w:bCs w:val="0"/>
          <w:i w:val="0"/>
          <w:iCs w:val="0"/>
          <w:caps w:val="0"/>
          <w:color w:val="auto"/>
          <w:spacing w:val="0"/>
          <w:kern w:val="2"/>
          <w:sz w:val="32"/>
          <w:szCs w:val="32"/>
          <w:highlight w:val="none"/>
          <w:shd w:val="clear"/>
        </w:rPr>
        <w:t>积极对接国家级互联网骨干节点服务资源</w:t>
      </w:r>
      <w:r>
        <w:rPr>
          <w:rFonts w:hint="default"/>
          <w:color w:val="auto"/>
          <w:kern w:val="2"/>
          <w:szCs w:val="32"/>
          <w:highlight w:val="none"/>
          <w:lang w:val="en-US" w:eastAsia="zh-CN"/>
        </w:rPr>
        <w:t>，优化网络传输效率</w:t>
      </w:r>
      <w:r>
        <w:rPr>
          <w:rFonts w:hint="eastAsia"/>
          <w:color w:val="auto"/>
          <w:kern w:val="2"/>
          <w:szCs w:val="32"/>
          <w:highlight w:val="none"/>
          <w:lang w:val="en-US" w:eastAsia="zh-CN"/>
        </w:rPr>
        <w:t>，</w:t>
      </w:r>
      <w:r>
        <w:rPr>
          <w:rFonts w:hint="default"/>
          <w:color w:val="auto"/>
          <w:kern w:val="2"/>
          <w:szCs w:val="32"/>
          <w:highlight w:val="none"/>
          <w:lang w:val="en-US" w:eastAsia="zh-CN"/>
        </w:rPr>
        <w:t>开通国际数据专用通道，服务外向型经济需求。</w:t>
      </w:r>
    </w:p>
    <w:p w14:paraId="1C0947BA">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w:t>
      </w:r>
      <w:r>
        <w:rPr>
          <w:rFonts w:hint="default" w:ascii="楷体_GB2312" w:hAnsi="楷体_GB2312" w:eastAsia="楷体_GB2312" w:cs="楷体_GB2312"/>
          <w:b w:val="0"/>
          <w:bCs w:val="0"/>
          <w:color w:val="auto"/>
          <w:spacing w:val="0"/>
          <w:sz w:val="32"/>
          <w:szCs w:val="32"/>
          <w:highlight w:val="none"/>
          <w:lang w:val="en-US" w:eastAsia="zh-CN"/>
        </w:rPr>
        <w:t>融合基础设施赋能行动</w:t>
      </w:r>
      <w:r>
        <w:rPr>
          <w:rFonts w:hint="eastAsia" w:ascii="楷体_GB2312" w:hAnsi="楷体_GB2312" w:eastAsia="楷体_GB2312" w:cs="楷体_GB2312"/>
          <w:b w:val="0"/>
          <w:bCs w:val="0"/>
          <w:color w:val="auto"/>
          <w:spacing w:val="0"/>
          <w:sz w:val="32"/>
          <w:szCs w:val="32"/>
          <w:highlight w:val="none"/>
          <w:lang w:val="en-US" w:eastAsia="zh-CN"/>
        </w:rPr>
        <w:t>。</w:t>
      </w:r>
      <w:r>
        <w:rPr>
          <w:rFonts w:hint="eastAsia"/>
          <w:color w:val="auto"/>
          <w:kern w:val="2"/>
          <w:szCs w:val="32"/>
          <w:highlight w:val="none"/>
          <w:lang w:val="en-US" w:eastAsia="zh-CN"/>
        </w:rPr>
        <w:t>做强智慧城市大脑中枢，</w:t>
      </w:r>
      <w:r>
        <w:rPr>
          <w:rFonts w:hint="eastAsia" w:ascii="仿宋_GB2312" w:hAnsi="仿宋_GB2312" w:eastAsia="仿宋_GB2312" w:cs="仿宋_GB2312"/>
          <w:i w:val="0"/>
          <w:iCs w:val="0"/>
          <w:caps w:val="0"/>
          <w:color w:val="auto"/>
          <w:spacing w:val="0"/>
          <w:kern w:val="2"/>
          <w:sz w:val="32"/>
          <w:szCs w:val="32"/>
          <w:highlight w:val="none"/>
          <w:shd w:val="clear" w:fill="auto"/>
        </w:rPr>
        <w:t>依托</w:t>
      </w:r>
      <w:r>
        <w:rPr>
          <w:rStyle w:val="20"/>
          <w:rFonts w:hint="eastAsia" w:ascii="仿宋_GB2312" w:hAnsi="仿宋_GB2312" w:eastAsia="仿宋_GB2312" w:cs="仿宋_GB2312"/>
          <w:b w:val="0"/>
          <w:bCs w:val="0"/>
          <w:i w:val="0"/>
          <w:iCs w:val="0"/>
          <w:caps w:val="0"/>
          <w:color w:val="auto"/>
          <w:spacing w:val="0"/>
          <w:kern w:val="2"/>
          <w:sz w:val="32"/>
          <w:szCs w:val="32"/>
          <w:highlight w:val="none"/>
          <w:shd w:val="clear" w:fill="FFFFFF"/>
        </w:rPr>
        <w:t>济阳区城市全域数字化转型项目</w:t>
      </w:r>
      <w:r>
        <w:rPr>
          <w:rFonts w:hint="eastAsia" w:ascii="仿宋_GB2312" w:hAnsi="仿宋_GB2312" w:eastAsia="仿宋_GB2312" w:cs="仿宋_GB2312"/>
          <w:i w:val="0"/>
          <w:iCs w:val="0"/>
          <w:caps w:val="0"/>
          <w:color w:val="auto"/>
          <w:spacing w:val="0"/>
          <w:kern w:val="2"/>
          <w:sz w:val="32"/>
          <w:szCs w:val="32"/>
          <w:highlight w:val="none"/>
          <w:shd w:val="clear" w:fill="auto"/>
        </w:rPr>
        <w:t>，</w:t>
      </w:r>
      <w:r>
        <w:rPr>
          <w:rFonts w:hint="eastAsia"/>
          <w:color w:val="auto"/>
          <w:kern w:val="2"/>
          <w:szCs w:val="32"/>
          <w:highlight w:val="none"/>
          <w:lang w:val="en-US" w:eastAsia="zh-CN"/>
        </w:rPr>
        <w:t>推动城市基础指标、业务数据、地理图层全量采集与深度治理，强化政法、公安、交通、文旅等领域视频资源汇聚与场景关联，建强城市大脑感知、协同、决策支撑能力，实现态势全面感知、事件高效处置。贯通基层智治末梢，深化“云上智治、基层减负、在线赋能”改革，推进“多网合一”“多表合一”与数字社区（街区）治理创新，打通区、街道（镇）、村（居）三级业务协同，实现基层事件“一网通管”。融合数据场景应用，谋划推进</w:t>
      </w:r>
      <w:r>
        <w:rPr>
          <w:rFonts w:hint="eastAsia" w:ascii="仿宋_GB2312" w:hAnsi="仿宋_GB2312" w:eastAsia="仿宋_GB2312" w:cs="仿宋_GB2312"/>
          <w:b w:val="0"/>
          <w:bCs w:val="0"/>
          <w:color w:val="auto"/>
          <w:kern w:val="2"/>
          <w:sz w:val="32"/>
          <w:szCs w:val="32"/>
          <w:highlight w:val="none"/>
          <w:lang w:val="en-US" w:eastAsia="zh-CN"/>
        </w:rPr>
        <w:t>济阳区城市安全运行数字化建设项目</w:t>
      </w:r>
      <w:r>
        <w:rPr>
          <w:rFonts w:hint="eastAsia" w:cs="仿宋_GB2312"/>
          <w:b w:val="0"/>
          <w:bCs w:val="0"/>
          <w:color w:val="auto"/>
          <w:kern w:val="2"/>
          <w:sz w:val="32"/>
          <w:szCs w:val="32"/>
          <w:highlight w:val="none"/>
          <w:lang w:val="en-US" w:eastAsia="zh-CN"/>
        </w:rPr>
        <w:t>、</w:t>
      </w:r>
      <w:r>
        <w:rPr>
          <w:rFonts w:hint="eastAsia" w:ascii="仿宋_GB2312" w:hAnsi="仿宋_GB2312" w:eastAsia="仿宋_GB2312" w:cs="仿宋_GB2312"/>
          <w:b w:val="0"/>
          <w:bCs w:val="0"/>
          <w:color w:val="auto"/>
          <w:kern w:val="2"/>
          <w:sz w:val="32"/>
          <w:szCs w:val="32"/>
          <w:highlight w:val="none"/>
          <w:lang w:val="en-US" w:eastAsia="zh-CN"/>
        </w:rPr>
        <w:t>济阳区智慧城市平安管理中心</w:t>
      </w:r>
      <w:r>
        <w:rPr>
          <w:rFonts w:hint="eastAsia" w:cs="仿宋_GB2312"/>
          <w:b w:val="0"/>
          <w:bCs w:val="0"/>
          <w:color w:val="auto"/>
          <w:kern w:val="2"/>
          <w:sz w:val="32"/>
          <w:szCs w:val="32"/>
          <w:highlight w:val="none"/>
          <w:lang w:val="en-US" w:eastAsia="zh-CN"/>
        </w:rPr>
        <w:t>等项目建设，</w:t>
      </w:r>
      <w:r>
        <w:rPr>
          <w:rFonts w:hint="eastAsia"/>
          <w:color w:val="auto"/>
          <w:kern w:val="2"/>
          <w:szCs w:val="32"/>
          <w:highlight w:val="none"/>
          <w:lang w:val="en-US" w:eastAsia="zh-CN"/>
        </w:rPr>
        <w:t>构建跨部门、跨层级数据共享机制，拓展交通、教育、农业、政务、社会治理等领域智能化场景，支撑城市治理现代化。</w:t>
      </w:r>
    </w:p>
    <w:p w14:paraId="61F7F934">
      <w:pPr>
        <w:rPr>
          <w:rFonts w:hint="eastAsia"/>
          <w:color w:val="auto"/>
          <w:kern w:val="2"/>
          <w:szCs w:val="32"/>
          <w:highlight w:val="none"/>
          <w:lang w:val="en-US" w:eastAsia="zh-CN"/>
        </w:rPr>
      </w:pPr>
      <w:r>
        <w:rPr>
          <w:rFonts w:hint="eastAsia"/>
          <w:color w:val="auto"/>
          <w:kern w:val="2"/>
          <w:szCs w:val="32"/>
          <w:highlight w:val="none"/>
          <w:lang w:val="en-US" w:eastAsia="zh-CN"/>
        </w:rPr>
        <w:br w:type="page"/>
      </w:r>
    </w:p>
    <w:p w14:paraId="2D8C61F8">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p>
    <w:p w14:paraId="6B81B39E">
      <w:pPr>
        <w:keepNext w:val="0"/>
        <w:keepLines w:val="0"/>
        <w:pageBreakBefore w:val="0"/>
        <w:widowControl w:val="0"/>
        <w:shd w:val="clear"/>
        <w:kinsoku/>
        <w:wordWrap/>
        <w:overflowPunct w:val="0"/>
        <w:topLinePunct w:val="0"/>
        <w:autoSpaceDE/>
        <w:autoSpaceDN/>
        <w:bidi w:val="0"/>
        <w:adjustRightInd/>
        <w:snapToGrid/>
        <w:spacing w:before="157" w:beforeLines="50" w:after="157" w:afterLines="50" w:line="600" w:lineRule="exact"/>
        <w:ind w:left="0" w:leftChars="0" w:firstLine="0" w:firstLineChars="0"/>
        <w:jc w:val="center"/>
        <w:textAlignment w:val="auto"/>
        <w:outlineLvl w:val="0"/>
        <w:rPr>
          <w:rFonts w:hint="eastAsia" w:ascii="方正小标宋简体" w:hAnsi="方正小标宋简体" w:eastAsia="方正小标宋简体" w:cs="方正小标宋简体"/>
          <w:color w:val="auto"/>
          <w:spacing w:val="0"/>
          <w:kern w:val="0"/>
          <w:sz w:val="32"/>
          <w:szCs w:val="32"/>
          <w:highlight w:val="none"/>
          <w:lang w:val="en-US" w:eastAsia="zh-CN" w:bidi="ar"/>
        </w:rPr>
      </w:pPr>
      <w:bookmarkStart w:id="238" w:name="_Toc3552"/>
      <w:bookmarkStart w:id="239" w:name="_Toc14936"/>
      <w:r>
        <w:rPr>
          <w:rFonts w:hint="eastAsia" w:ascii="方正小标宋简体" w:hAnsi="方正小标宋简体" w:eastAsia="方正小标宋简体" w:cs="方正小标宋简体"/>
          <w:color w:val="auto"/>
          <w:spacing w:val="0"/>
          <w:kern w:val="0"/>
          <w:sz w:val="32"/>
          <w:szCs w:val="32"/>
          <w:highlight w:val="none"/>
          <w:lang w:val="en-US" w:eastAsia="zh-CN" w:bidi="ar"/>
        </w:rPr>
        <w:t>第六章  推进区域协调联动，构建融合高效的区域协同发展格局</w:t>
      </w:r>
      <w:bookmarkEnd w:id="197"/>
      <w:bookmarkEnd w:id="198"/>
      <w:bookmarkEnd w:id="199"/>
      <w:bookmarkEnd w:id="200"/>
      <w:bookmarkEnd w:id="201"/>
      <w:bookmarkEnd w:id="202"/>
      <w:bookmarkEnd w:id="238"/>
      <w:bookmarkEnd w:id="239"/>
    </w:p>
    <w:p w14:paraId="7D8A77FD">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仿宋_GB2312" w:hAnsi="仿宋_GB2312" w:eastAsia="仿宋_GB2312" w:cs="仿宋_GB2312"/>
          <w:color w:val="auto"/>
          <w:highlight w:val="none"/>
          <w:lang w:val="en-US" w:eastAsia="zh-CN"/>
        </w:rPr>
      </w:pPr>
      <w:bookmarkStart w:id="240" w:name="_Toc30638"/>
      <w:bookmarkStart w:id="241" w:name="_Toc10585"/>
      <w:bookmarkStart w:id="242" w:name="_Toc5658"/>
      <w:bookmarkStart w:id="243" w:name="_Toc752"/>
      <w:bookmarkStart w:id="244" w:name="_Toc18471"/>
      <w:bookmarkStart w:id="245" w:name="_Toc12377"/>
      <w:r>
        <w:rPr>
          <w:rFonts w:hint="eastAsia" w:ascii="仿宋_GB2312" w:hAnsi="仿宋_GB2312" w:eastAsia="仿宋_GB2312" w:cs="仿宋_GB2312"/>
          <w:color w:val="auto"/>
          <w:highlight w:val="none"/>
          <w:lang w:val="en-US" w:eastAsia="zh-CN"/>
        </w:rPr>
        <w:t>以深度融入区域重大战略为引领，以强化区域协同联动为主线，积极探索跨区域合作新机制，加快构建功能互补、协同高效的区域一体化发展新格局。</w:t>
      </w:r>
      <w:bookmarkEnd w:id="240"/>
      <w:bookmarkEnd w:id="241"/>
      <w:bookmarkEnd w:id="242"/>
      <w:bookmarkEnd w:id="243"/>
    </w:p>
    <w:p w14:paraId="1E6C8F5B">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default" w:ascii="黑体" w:hAnsi="黑体" w:eastAsia="黑体" w:cs="黑体"/>
          <w:color w:val="auto"/>
          <w:highlight w:val="none"/>
          <w:lang w:val="en-US" w:eastAsia="zh-CN"/>
        </w:rPr>
      </w:pPr>
      <w:bookmarkStart w:id="246" w:name="_Toc17305"/>
      <w:bookmarkStart w:id="247" w:name="_Toc2372"/>
      <w:bookmarkStart w:id="248" w:name="_Toc23740"/>
      <w:bookmarkStart w:id="249" w:name="_Toc5159"/>
      <w:bookmarkStart w:id="250" w:name="_Toc20382"/>
      <w:r>
        <w:rPr>
          <w:rFonts w:hint="eastAsia" w:ascii="黑体" w:hAnsi="黑体" w:eastAsia="黑体" w:cs="黑体"/>
          <w:color w:val="auto"/>
          <w:highlight w:val="none"/>
          <w:lang w:val="en-US" w:eastAsia="zh-CN"/>
        </w:rPr>
        <w:t>一、优化空间保护开发格局和街道（镇）功能布局</w:t>
      </w:r>
      <w:bookmarkEnd w:id="246"/>
      <w:bookmarkEnd w:id="247"/>
    </w:p>
    <w:p w14:paraId="6DAAD13A">
      <w:pPr>
        <w:shd w:val="clear"/>
        <w:spacing w:line="600" w:lineRule="exact"/>
        <w:ind w:firstLine="640" w:firstLineChars="200"/>
        <w:outlineLvl w:val="9"/>
        <w:rPr>
          <w:rFonts w:ascii="Times New Roman" w:hAnsi="Times New Roman" w:eastAsia="仿宋_GB2312" w:cs="Times New Roman"/>
          <w:color w:val="auto"/>
          <w:sz w:val="32"/>
          <w:szCs w:val="32"/>
          <w:highlight w:val="none"/>
        </w:rPr>
      </w:pPr>
      <w:r>
        <w:rPr>
          <w:rFonts w:hint="eastAsia"/>
          <w:color w:val="auto"/>
          <w:highlight w:val="none"/>
          <w:lang w:val="en-US" w:eastAsia="zh-CN"/>
        </w:rPr>
        <w:t>坚持城市内涵式发展，</w:t>
      </w:r>
      <w:r>
        <w:rPr>
          <w:rFonts w:ascii="Times New Roman" w:hAnsi="Times New Roman" w:eastAsia="仿宋_GB2312" w:cs="Times New Roman"/>
          <w:color w:val="auto"/>
          <w:sz w:val="32"/>
          <w:szCs w:val="32"/>
          <w:highlight w:val="none"/>
        </w:rPr>
        <w:t>强化国土空间规划的战略指导和刚性约束，</w:t>
      </w:r>
      <w:r>
        <w:rPr>
          <w:rFonts w:hint="eastAsia" w:ascii="仿宋_GB2312" w:hAnsi="仿宋_GB2312" w:eastAsia="仿宋_GB2312" w:cs="仿宋_GB2312"/>
          <w:b w:val="0"/>
          <w:bCs w:val="0"/>
          <w:i w:val="0"/>
          <w:iCs w:val="0"/>
          <w:color w:val="auto"/>
          <w:spacing w:val="7"/>
          <w:sz w:val="32"/>
          <w:szCs w:val="32"/>
          <w:highlight w:val="none"/>
        </w:rPr>
        <w:t>推进</w:t>
      </w:r>
      <w:r>
        <w:rPr>
          <w:rFonts w:hint="eastAsia" w:cs="仿宋_GB2312"/>
          <w:b w:val="0"/>
          <w:bCs w:val="0"/>
          <w:i w:val="0"/>
          <w:iCs w:val="0"/>
          <w:color w:val="auto"/>
          <w:spacing w:val="7"/>
          <w:sz w:val="32"/>
          <w:szCs w:val="32"/>
          <w:highlight w:val="none"/>
          <w:lang w:val="en-US" w:eastAsia="zh-CN"/>
        </w:rPr>
        <w:t>国土</w:t>
      </w:r>
      <w:r>
        <w:rPr>
          <w:rFonts w:hint="eastAsia" w:ascii="仿宋_GB2312" w:hAnsi="仿宋_GB2312" w:eastAsia="仿宋_GB2312" w:cs="仿宋_GB2312"/>
          <w:b w:val="0"/>
          <w:bCs w:val="0"/>
          <w:i w:val="0"/>
          <w:iCs w:val="0"/>
          <w:color w:val="auto"/>
          <w:spacing w:val="7"/>
          <w:sz w:val="32"/>
          <w:szCs w:val="32"/>
          <w:highlight w:val="none"/>
        </w:rPr>
        <w:t>空间优化</w:t>
      </w:r>
      <w:r>
        <w:rPr>
          <w:rFonts w:hint="eastAsia" w:cs="仿宋_GB2312"/>
          <w:b w:val="0"/>
          <w:bCs w:val="0"/>
          <w:i w:val="0"/>
          <w:iCs w:val="0"/>
          <w:color w:val="auto"/>
          <w:spacing w:val="7"/>
          <w:sz w:val="32"/>
          <w:szCs w:val="32"/>
          <w:highlight w:val="none"/>
          <w:lang w:val="en-US" w:eastAsia="zh-CN"/>
        </w:rPr>
        <w:t>和街道（镇）</w:t>
      </w:r>
      <w:r>
        <w:rPr>
          <w:rFonts w:hint="eastAsia" w:ascii="仿宋_GB2312" w:hAnsi="仿宋_GB2312" w:eastAsia="仿宋_GB2312" w:cs="仿宋_GB2312"/>
          <w:b w:val="0"/>
          <w:bCs w:val="0"/>
          <w:i w:val="0"/>
          <w:iCs w:val="0"/>
          <w:color w:val="auto"/>
          <w:spacing w:val="7"/>
          <w:sz w:val="32"/>
          <w:szCs w:val="32"/>
          <w:highlight w:val="none"/>
        </w:rPr>
        <w:t>功能提升，</w:t>
      </w:r>
      <w:r>
        <w:rPr>
          <w:rFonts w:hint="eastAsia"/>
          <w:color w:val="auto"/>
          <w:highlight w:val="none"/>
          <w:lang w:val="en-US" w:eastAsia="zh-CN"/>
        </w:rPr>
        <w:t>构建集约高效、可持续的国土空间新秩序。</w:t>
      </w:r>
    </w:p>
    <w:p w14:paraId="7476415A">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（一）完善国土空间规划管理。</w:t>
      </w:r>
      <w:r>
        <w:rPr>
          <w:rFonts w:hint="eastAsia"/>
          <w:color w:val="auto"/>
          <w:kern w:val="2"/>
          <w:szCs w:val="32"/>
          <w:highlight w:val="none"/>
          <w:lang w:val="en-US" w:eastAsia="zh-CN"/>
        </w:rPr>
        <w:t>划定落实</w:t>
      </w:r>
      <w:r>
        <w:rPr>
          <w:rFonts w:hint="eastAsia"/>
          <w:color w:val="auto"/>
          <w:kern w:val="2"/>
          <w:szCs w:val="32"/>
          <w:highlight w:val="none"/>
        </w:rPr>
        <w:t>国土空间开发保护格局，全面完善国土空间规划管理体系。强化国土空间规划的战略引领和刚性约束，</w:t>
      </w:r>
      <w:r>
        <w:rPr>
          <w:rFonts w:hint="eastAsia"/>
          <w:color w:val="auto"/>
          <w:kern w:val="2"/>
          <w:szCs w:val="32"/>
          <w:highlight w:val="none"/>
          <w:lang w:val="en-US" w:eastAsia="zh-CN"/>
        </w:rPr>
        <w:t>优化调整</w:t>
      </w:r>
      <w:r>
        <w:rPr>
          <w:rFonts w:hint="eastAsia"/>
          <w:color w:val="auto"/>
          <w:kern w:val="2"/>
          <w:szCs w:val="32"/>
          <w:highlight w:val="none"/>
        </w:rPr>
        <w:t>生态保护红线、永久基本农田、城镇开发边界三条控制线，</w:t>
      </w:r>
      <w:r>
        <w:rPr>
          <w:rFonts w:hint="eastAsia"/>
          <w:color w:val="auto"/>
          <w:kern w:val="2"/>
          <w:szCs w:val="32"/>
          <w:highlight w:val="none"/>
          <w:lang w:val="en-US" w:eastAsia="zh-CN"/>
        </w:rPr>
        <w:t>结合项目对详细规划进行深化落实，</w:t>
      </w:r>
      <w:r>
        <w:rPr>
          <w:rFonts w:hint="eastAsia"/>
          <w:color w:val="auto"/>
          <w:kern w:val="2"/>
          <w:szCs w:val="32"/>
          <w:highlight w:val="none"/>
        </w:rPr>
        <w:t>构建“多规合一”的规划编制与实施机制，确保各类规划在空间布局上的协调统一。建立健全国土空间开发保护动态监测和评估预警系统，运用卫星遥感、大数据等技术手段，实时掌握国土空间利用状况，及时发现和纠正违规开发行为。严格执行国土空间用途管制制度，规范建设用地审批流程，保障重大基础设施、民生工程和战略性新兴产业项目的用地需求，同时加大对闲置土地的盘活利用力度，提高土地集约节约利用水平。加强规划实施的监督考核，建立规划实施责任追究制度，确保国土空间规划的严肃性和权威性，为区域可持续发展提供科学的空间保障。</w:t>
      </w:r>
    </w:p>
    <w:p w14:paraId="64F66AA0">
      <w:pPr>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outlineLvl w:val="9"/>
        <w:rPr>
          <w:rFonts w:hint="eastAsia"/>
          <w:color w:val="auto"/>
          <w:kern w:val="2"/>
          <w:szCs w:val="32"/>
          <w:highlight w:val="none"/>
          <w:lang w:eastAsia="zh-CN"/>
        </w:rPr>
      </w:pPr>
      <w:r>
        <w:rPr>
          <w:rFonts w:hint="eastAsia" w:ascii="楷体_GB2312" w:hAnsi="楷体_GB2312" w:eastAsia="楷体_GB2312" w:cs="楷体_GB2312"/>
          <w:b w:val="0"/>
          <w:bCs w:val="0"/>
          <w:color w:val="auto"/>
          <w:spacing w:val="0"/>
          <w:sz w:val="32"/>
          <w:szCs w:val="32"/>
          <w:highlight w:val="none"/>
          <w:lang w:val="en-US" w:eastAsia="zh-CN"/>
        </w:rPr>
        <w:t>（二）强化国土空间用途管控。</w:t>
      </w:r>
      <w:r>
        <w:rPr>
          <w:rFonts w:hint="eastAsia"/>
          <w:color w:val="auto"/>
          <w:kern w:val="2"/>
          <w:szCs w:val="32"/>
          <w:highlight w:val="none"/>
        </w:rPr>
        <w:t>严格落实生态保护红线、生态保护区、生态控制区的管控要求，强化</w:t>
      </w:r>
      <w:r>
        <w:rPr>
          <w:rFonts w:hint="eastAsia"/>
          <w:color w:val="auto"/>
          <w:kern w:val="2"/>
          <w:szCs w:val="32"/>
          <w:highlight w:val="none"/>
          <w:lang w:eastAsia="zh-CN"/>
        </w:rPr>
        <w:t>生态环境分区管控</w:t>
      </w:r>
      <w:r>
        <w:rPr>
          <w:rFonts w:hint="eastAsia"/>
          <w:color w:val="auto"/>
          <w:kern w:val="2"/>
          <w:szCs w:val="32"/>
          <w:highlight w:val="none"/>
        </w:rPr>
        <w:t>，筑牢</w:t>
      </w:r>
      <w:r>
        <w:rPr>
          <w:rFonts w:hint="eastAsia"/>
          <w:color w:val="auto"/>
          <w:kern w:val="2"/>
          <w:szCs w:val="32"/>
          <w:highlight w:val="none"/>
          <w:lang w:eastAsia="zh-CN"/>
        </w:rPr>
        <w:t>全区</w:t>
      </w:r>
      <w:r>
        <w:rPr>
          <w:rFonts w:hint="eastAsia"/>
          <w:color w:val="auto"/>
          <w:kern w:val="2"/>
          <w:szCs w:val="32"/>
          <w:highlight w:val="none"/>
        </w:rPr>
        <w:t>生态屏障。以生态环境管控单元为载体，落实生态环境分区管控要求，坚决制止违反生态环境准入清单规定进行生产建设活动的行为，不断强化生态环境源头防控，</w:t>
      </w:r>
      <w:r>
        <w:rPr>
          <w:rFonts w:hint="eastAsia"/>
          <w:color w:val="auto"/>
          <w:kern w:val="2"/>
          <w:szCs w:val="32"/>
          <w:highlight w:val="none"/>
          <w:lang w:eastAsia="zh-CN"/>
        </w:rPr>
        <w:t>落实永久基本农田保护任务，土地复垦资金应当优先投入</w:t>
      </w:r>
      <w:r>
        <w:rPr>
          <w:rFonts w:hint="eastAsia"/>
          <w:color w:val="auto"/>
          <w:kern w:val="2"/>
          <w:szCs w:val="32"/>
          <w:highlight w:val="none"/>
          <w:lang w:val="en-US" w:eastAsia="zh-CN"/>
        </w:rPr>
        <w:t>本</w:t>
      </w:r>
      <w:r>
        <w:rPr>
          <w:rFonts w:hint="eastAsia"/>
          <w:color w:val="auto"/>
          <w:kern w:val="2"/>
          <w:szCs w:val="32"/>
          <w:highlight w:val="none"/>
          <w:lang w:eastAsia="zh-CN"/>
        </w:rPr>
        <w:t>区域，鼓励重点开展高标准农田建设和土地整治，提高永久基本农田质量，从严管控非农建设占用永久基本农田。</w:t>
      </w:r>
    </w:p>
    <w:p w14:paraId="15B5FEFB">
      <w:pPr>
        <w:keepNext w:val="0"/>
        <w:keepLines w:val="0"/>
        <w:widowControl/>
        <w:suppressLineNumbers w:val="0"/>
        <w:spacing w:beforeLines="0" w:afterLines="0"/>
        <w:ind w:firstLine="640"/>
        <w:jc w:val="both"/>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（三）统筹街道（镇）协调发展。</w:t>
      </w:r>
      <w:r>
        <w:rPr>
          <w:rFonts w:hint="eastAsia"/>
          <w:color w:val="auto"/>
          <w:kern w:val="2"/>
          <w:szCs w:val="32"/>
          <w:highlight w:val="none"/>
          <w:lang w:val="en-US" w:eastAsia="zh-CN"/>
        </w:rPr>
        <w:t>立足各街道（镇）资源禀赋、产业基础与区位特点，坚持因地制宜、分类施策，形成“一镇一品”的产业格局。依据资源禀赋、发展基础与区位条件，明确各街道（镇）差异化功能定位，形成特色鲜明、功能协调、优势互补、联动发展的街道（镇）功能布局。济北街道着力打造城市基层治理首善之区、产城融合的重要承载地、高品质宜居城区。济阳街道着力打造城乡融合发展承载地、城市内涵式发展重要实践区、沿黄生态赋能特色廊道。回河街道着力打造南融济南新旧动能转换起步区的桥头堡、济阳城市发展新的增长极、现代都市农业示范区。垛石街道着力打造全国具有重要影响力的番茄之乡、和美乡村建设实践区、区域性的商贸物流中心镇。曲堤街道着力打造全国黄瓜产业高质量发展样板区、全体人民共同富裕的示范区、济阳北部重要中心镇。仁风镇着力打造全国知名的富硒西瓜种植基地、全区畜牧业重要功能区、农业社会化服务的引领区。新市镇着力打造济阳区“吨半粮”示范镇、小品类果蔬重要孵化地、高速道口经济特色镇。</w:t>
      </w:r>
    </w:p>
    <w:p w14:paraId="3D128033">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251" w:name="_Toc20419"/>
      <w:bookmarkStart w:id="252" w:name="_Toc9885"/>
      <w:r>
        <w:rPr>
          <w:rFonts w:hint="eastAsia" w:ascii="黑体" w:hAnsi="黑体" w:eastAsia="黑体" w:cs="黑体"/>
          <w:color w:val="auto"/>
          <w:highlight w:val="none"/>
          <w:lang w:val="en-US" w:eastAsia="zh-CN"/>
        </w:rPr>
        <w:t>二、全面对接济南新旧动能转换起步区</w:t>
      </w:r>
      <w:bookmarkEnd w:id="244"/>
      <w:bookmarkEnd w:id="245"/>
      <w:bookmarkEnd w:id="248"/>
      <w:bookmarkEnd w:id="249"/>
      <w:bookmarkEnd w:id="250"/>
      <w:bookmarkEnd w:id="251"/>
      <w:bookmarkEnd w:id="252"/>
    </w:p>
    <w:p w14:paraId="55A0ED4A">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仿宋_GB2312" w:hAnsi="仿宋_GB2312" w:eastAsia="仿宋_GB2312" w:cs="仿宋_GB2312"/>
          <w:b w:val="0"/>
          <w:bCs w:val="0"/>
          <w:color w:val="auto"/>
          <w:sz w:val="32"/>
          <w:szCs w:val="22"/>
          <w:highlight w:val="none"/>
          <w:lang w:val="en-US" w:eastAsia="zh-CN"/>
        </w:rPr>
        <w:t>依托济阳毗邻起步区、衔接“</w:t>
      </w:r>
      <w:r>
        <w:rPr>
          <w:rFonts w:hint="eastAsia" w:cs="仿宋_GB2312"/>
          <w:b w:val="0"/>
          <w:bCs w:val="0"/>
          <w:color w:val="auto"/>
          <w:sz w:val="32"/>
          <w:szCs w:val="22"/>
          <w:highlight w:val="none"/>
          <w:lang w:val="en-US" w:eastAsia="zh-CN"/>
        </w:rPr>
        <w:t>北起</w:t>
      </w:r>
      <w:r>
        <w:rPr>
          <w:rFonts w:hint="eastAsia" w:ascii="仿宋_GB2312" w:hAnsi="仿宋_GB2312" w:eastAsia="仿宋_GB2312" w:cs="仿宋_GB2312"/>
          <w:b w:val="0"/>
          <w:bCs w:val="0"/>
          <w:color w:val="auto"/>
          <w:sz w:val="32"/>
          <w:szCs w:val="22"/>
          <w:highlight w:val="none"/>
          <w:lang w:val="en-US" w:eastAsia="zh-CN"/>
        </w:rPr>
        <w:t>”战略的区位优势，主动融入区域协调发展大局，强化科技成果转化与配套产业承接能力，进一步增强区域产业联动与功能互补</w:t>
      </w:r>
      <w:r>
        <w:rPr>
          <w:rFonts w:hint="eastAsia" w:cs="仿宋_GB2312"/>
          <w:b w:val="0"/>
          <w:bCs w:val="0"/>
          <w:color w:val="auto"/>
          <w:sz w:val="32"/>
          <w:szCs w:val="22"/>
          <w:highlight w:val="none"/>
          <w:lang w:val="en-US" w:eastAsia="zh-CN"/>
        </w:rPr>
        <w:t>，推动起步区与合作区一体化协同发展。</w:t>
      </w:r>
    </w:p>
    <w:p w14:paraId="7D2F8045">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仿宋_GB2312" w:hAnsi="仿宋_GB2312" w:eastAsia="仿宋_GB2312" w:cs="仿宋_GB2312"/>
          <w:color w:val="auto"/>
          <w:highlight w:val="none"/>
          <w:lang w:val="en-US" w:eastAsia="zh-CN"/>
        </w:rPr>
      </w:pPr>
      <w:bookmarkStart w:id="253" w:name="_Toc11452"/>
      <w:bookmarkStart w:id="254" w:name="_Toc26482"/>
      <w:r>
        <w:rPr>
          <w:rFonts w:hint="eastAsia" w:ascii="楷体_GB2312" w:hAnsi="楷体_GB2312" w:eastAsia="楷体_GB2312" w:cs="楷体_GB2312"/>
          <w:b w:val="0"/>
          <w:bCs w:val="0"/>
          <w:color w:val="auto"/>
          <w:spacing w:val="0"/>
          <w:sz w:val="32"/>
          <w:szCs w:val="32"/>
          <w:highlight w:val="none"/>
          <w:lang w:val="en-US" w:eastAsia="zh-CN"/>
        </w:rPr>
        <w:t>（一）健全规划对接与联合招引机制。</w:t>
      </w:r>
      <w:r>
        <w:rPr>
          <w:rFonts w:hint="eastAsia" w:ascii="仿宋_GB2312" w:hAnsi="仿宋_GB2312" w:eastAsia="仿宋_GB2312" w:cs="仿宋_GB2312"/>
          <w:color w:val="auto"/>
          <w:highlight w:val="none"/>
          <w:lang w:val="en-US" w:eastAsia="zh-CN"/>
        </w:rPr>
        <w:t>紧密衔接</w:t>
      </w:r>
      <w:r>
        <w:rPr>
          <w:rFonts w:hint="eastAsia" w:cs="仿宋_GB2312"/>
          <w:color w:val="auto"/>
          <w:highlight w:val="none"/>
          <w:lang w:val="en-US" w:eastAsia="zh-CN"/>
        </w:rPr>
        <w:t>起步区</w:t>
      </w:r>
      <w:r>
        <w:rPr>
          <w:rFonts w:hint="eastAsia" w:ascii="仿宋_GB2312" w:hAnsi="仿宋_GB2312" w:eastAsia="仿宋_GB2312" w:cs="仿宋_GB2312"/>
          <w:color w:val="auto"/>
          <w:highlight w:val="none"/>
          <w:lang w:val="en-US" w:eastAsia="zh-CN"/>
        </w:rPr>
        <w:t>“一纵一横两核五组团”空间布局，统筹协调紧密协作区空间结构与功能布局，将区域路网体系全面纳入</w:t>
      </w:r>
      <w:r>
        <w:rPr>
          <w:rFonts w:hint="eastAsia" w:cs="仿宋_GB2312"/>
          <w:color w:val="auto"/>
          <w:highlight w:val="none"/>
          <w:lang w:val="en-US" w:eastAsia="zh-CN"/>
        </w:rPr>
        <w:t>起步区</w:t>
      </w:r>
      <w:r>
        <w:rPr>
          <w:rFonts w:hint="eastAsia" w:ascii="仿宋_GB2312" w:hAnsi="仿宋_GB2312" w:eastAsia="仿宋_GB2312" w:cs="仿宋_GB2312"/>
          <w:color w:val="auto"/>
          <w:highlight w:val="none"/>
          <w:lang w:val="en-US" w:eastAsia="zh-CN"/>
        </w:rPr>
        <w:t>综合交通规划，实现系统性衔接。建立与</w:t>
      </w:r>
      <w:r>
        <w:rPr>
          <w:rFonts w:hint="eastAsia" w:cs="仿宋_GB2312"/>
          <w:color w:val="auto"/>
          <w:highlight w:val="none"/>
          <w:lang w:val="en-US" w:eastAsia="zh-CN"/>
        </w:rPr>
        <w:t>起步区</w:t>
      </w:r>
      <w:r>
        <w:rPr>
          <w:rFonts w:hint="eastAsia" w:ascii="仿宋_GB2312" w:hAnsi="仿宋_GB2312" w:eastAsia="仿宋_GB2312" w:cs="仿宋_GB2312"/>
          <w:color w:val="auto"/>
          <w:highlight w:val="none"/>
          <w:lang w:val="en-US" w:eastAsia="zh-CN"/>
        </w:rPr>
        <w:t>联合招引专门机构，围绕“建链延链”与主导产业发展需求，建强专业招商力量，通过优化招商机制、选聘专业人才、配套落地政策等措施，推动多领域全方位联合招引，积极承接和对接流转一批优质企业项目，切实提升招商引资质效。加强干部双向联动培养，制定干部融合发展政策，建立联席合作机制，推进选考协作、交流任职、人才共用与培训联动，以队伍融合促进区域发展融合。</w:t>
      </w:r>
    </w:p>
    <w:p w14:paraId="61137C6B">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仿宋_GB2312" w:hAnsi="仿宋_GB2312" w:eastAsia="仿宋_GB2312" w:cs="仿宋_GB2312"/>
          <w:color w:val="auto"/>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（二）加快基础设施一体化建设。</w:t>
      </w:r>
      <w:r>
        <w:rPr>
          <w:rFonts w:hint="eastAsia" w:ascii="仿宋_GB2312" w:hAnsi="仿宋_GB2312" w:eastAsia="仿宋_GB2312" w:cs="仿宋_GB2312"/>
          <w:color w:val="auto"/>
          <w:highlight w:val="none"/>
          <w:lang w:val="en-US" w:eastAsia="zh-CN"/>
        </w:rPr>
        <w:t>以水网、路网、枢纽为重点，构建与</w:t>
      </w:r>
      <w:r>
        <w:rPr>
          <w:rFonts w:hint="eastAsia" w:cs="仿宋_GB2312"/>
          <w:color w:val="auto"/>
          <w:highlight w:val="none"/>
          <w:lang w:val="en-US" w:eastAsia="zh-CN"/>
        </w:rPr>
        <w:t>起步区</w:t>
      </w:r>
      <w:r>
        <w:rPr>
          <w:rFonts w:hint="eastAsia" w:ascii="仿宋_GB2312" w:hAnsi="仿宋_GB2312" w:eastAsia="仿宋_GB2312" w:cs="仿宋_GB2312"/>
          <w:color w:val="auto"/>
          <w:highlight w:val="none"/>
          <w:lang w:val="en-US" w:eastAsia="zh-CN"/>
        </w:rPr>
        <w:t>深度融合的现代化基础设施体系。共建区域性防洪排涝体系，联合提升黄河堤防标准，协同推进重点河道综合治理与水资源优化配置</w:t>
      </w:r>
      <w:r>
        <w:rPr>
          <w:rFonts w:hint="eastAsia" w:cs="仿宋_GB2312"/>
          <w:color w:val="auto"/>
          <w:highlight w:val="none"/>
          <w:lang w:val="en-US" w:eastAsia="zh-CN"/>
        </w:rPr>
        <w:t>，重点实施济阳西部城区排水防涝建设、济阳区与起步区跨界河道综合治理工程，系统增强区域水安全保障能力</w:t>
      </w:r>
      <w:r>
        <w:rPr>
          <w:rFonts w:hint="eastAsia" w:ascii="仿宋_GB2312" w:hAnsi="仿宋_GB2312" w:eastAsia="仿宋_GB2312" w:cs="仿宋_GB2312"/>
          <w:color w:val="auto"/>
          <w:highlight w:val="none"/>
          <w:lang w:val="en-US" w:eastAsia="zh-CN"/>
        </w:rPr>
        <w:t>。积极融入全市交通布局，推进黄河大道</w:t>
      </w:r>
      <w:r>
        <w:rPr>
          <w:rFonts w:hint="eastAsia" w:cs="仿宋_GB2312"/>
          <w:color w:val="auto"/>
          <w:highlight w:val="none"/>
          <w:lang w:val="en-US" w:eastAsia="zh-CN"/>
        </w:rPr>
        <w:t>北延</w:t>
      </w:r>
      <w:r>
        <w:rPr>
          <w:rFonts w:hint="eastAsia" w:ascii="仿宋_GB2312" w:hAnsi="仿宋_GB2312" w:eastAsia="仿宋_GB2312" w:cs="仿宋_GB2312"/>
          <w:color w:val="auto"/>
          <w:highlight w:val="none"/>
          <w:lang w:val="en-US" w:eastAsia="zh-CN"/>
        </w:rPr>
        <w:t>、国道308等骨干通道建设，加快实施济太路、回孙路等道路</w:t>
      </w:r>
      <w:r>
        <w:rPr>
          <w:rFonts w:hint="eastAsia" w:cs="仿宋_GB2312"/>
          <w:color w:val="auto"/>
          <w:highlight w:val="none"/>
          <w:lang w:val="en-US" w:eastAsia="zh-CN"/>
        </w:rPr>
        <w:t>建设</w:t>
      </w:r>
      <w:r>
        <w:rPr>
          <w:rFonts w:hint="eastAsia" w:ascii="仿宋_GB2312" w:hAnsi="仿宋_GB2312" w:eastAsia="仿宋_GB2312" w:cs="仿宋_GB2312"/>
          <w:color w:val="auto"/>
          <w:highlight w:val="none"/>
          <w:lang w:val="en-US" w:eastAsia="zh-CN"/>
        </w:rPr>
        <w:t>，争取衔接</w:t>
      </w:r>
      <w:r>
        <w:rPr>
          <w:rFonts w:hint="eastAsia" w:cs="仿宋_GB2312"/>
          <w:color w:val="auto"/>
          <w:highlight w:val="none"/>
          <w:lang w:val="en-US" w:eastAsia="zh-CN"/>
        </w:rPr>
        <w:t>起步区</w:t>
      </w:r>
      <w:r>
        <w:rPr>
          <w:rFonts w:hint="eastAsia" w:ascii="仿宋_GB2312" w:hAnsi="仿宋_GB2312" w:eastAsia="仿宋_GB2312" w:cs="仿宋_GB2312"/>
          <w:color w:val="auto"/>
          <w:highlight w:val="none"/>
          <w:lang w:val="en-US" w:eastAsia="zh-CN"/>
        </w:rPr>
        <w:t>地铁、高铁、</w:t>
      </w:r>
      <w:r>
        <w:rPr>
          <w:rFonts w:hint="eastAsia" w:ascii="仿宋_GB2312" w:hAnsi="仿宋_GB2312" w:eastAsia="仿宋_GB2312" w:cs="仿宋_GB2312"/>
          <w:b w:val="0"/>
          <w:bCs w:val="0"/>
          <w:color w:val="auto"/>
          <w:sz w:val="32"/>
          <w:szCs w:val="32"/>
          <w:highlight w:val="none"/>
          <w:lang w:val="en-US" w:eastAsia="zh-CN"/>
        </w:rPr>
        <w:t>银河路南延接航天大道项目、航天大道二期项目</w:t>
      </w:r>
      <w:r>
        <w:rPr>
          <w:rFonts w:hint="eastAsia" w:ascii="仿宋_GB2312" w:hAnsi="仿宋_GB2312" w:eastAsia="仿宋_GB2312" w:cs="仿宋_GB2312"/>
          <w:color w:val="auto"/>
          <w:highlight w:val="none"/>
          <w:lang w:val="en-US" w:eastAsia="zh-CN"/>
        </w:rPr>
        <w:t>等区域新通道。</w:t>
      </w:r>
    </w:p>
    <w:p w14:paraId="2829936D">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仿宋_GB2312" w:hAnsi="仿宋_GB2312" w:eastAsia="仿宋_GB2312" w:cs="仿宋_GB2312"/>
          <w:color w:val="auto"/>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（三）构建协同发展的现代化产业体系。</w:t>
      </w:r>
      <w:r>
        <w:rPr>
          <w:rFonts w:hint="eastAsia" w:ascii="仿宋_GB2312" w:hAnsi="仿宋_GB2312" w:eastAsia="仿宋_GB2312" w:cs="仿宋_GB2312"/>
          <w:color w:val="auto"/>
          <w:highlight w:val="none"/>
          <w:lang w:val="en-US" w:eastAsia="zh-CN"/>
        </w:rPr>
        <w:t>围绕</w:t>
      </w:r>
      <w:r>
        <w:rPr>
          <w:rFonts w:hint="eastAsia" w:cs="仿宋_GB2312"/>
          <w:color w:val="auto"/>
          <w:highlight w:val="none"/>
          <w:lang w:val="en-US" w:eastAsia="zh-CN"/>
        </w:rPr>
        <w:t>起步区</w:t>
      </w:r>
      <w:r>
        <w:rPr>
          <w:rFonts w:hint="eastAsia" w:ascii="仿宋_GB2312" w:hAnsi="仿宋_GB2312" w:eastAsia="仿宋_GB2312" w:cs="仿宋_GB2312"/>
          <w:color w:val="auto"/>
          <w:highlight w:val="none"/>
          <w:lang w:val="en-US" w:eastAsia="zh-CN"/>
        </w:rPr>
        <w:t>新能源汽车等主导产业，系统开展延链补链强链，重点布局汽车电子、轻量化部件、智能座舱等关键环节，完善高端内饰、精密模具、线控底盘等配套短板，形成“研发在起步区、生产在济阳”的产业协作模式。立足黄河流域生态保护和高质量发展战略，聚焦新能源汽车、装备制造等绿色低碳产业，通过联合招商、以商招商等模式，积极引进</w:t>
      </w:r>
      <w:r>
        <w:rPr>
          <w:rFonts w:hint="eastAsia" w:cs="仿宋_GB2312"/>
          <w:color w:val="auto"/>
          <w:highlight w:val="none"/>
          <w:lang w:val="en-US" w:eastAsia="zh-CN"/>
        </w:rPr>
        <w:t>汽车制造</w:t>
      </w:r>
      <w:r>
        <w:rPr>
          <w:rFonts w:hint="eastAsia" w:ascii="仿宋_GB2312" w:hAnsi="仿宋_GB2312" w:eastAsia="仿宋_GB2312" w:cs="仿宋_GB2312"/>
          <w:color w:val="auto"/>
          <w:highlight w:val="none"/>
          <w:lang w:val="en-US" w:eastAsia="zh-CN"/>
        </w:rPr>
        <w:t>、工业母机等</w:t>
      </w:r>
      <w:r>
        <w:rPr>
          <w:rFonts w:hint="eastAsia" w:cs="仿宋_GB2312"/>
          <w:color w:val="auto"/>
          <w:highlight w:val="none"/>
          <w:lang w:val="en-US" w:eastAsia="zh-CN"/>
        </w:rPr>
        <w:t>相关</w:t>
      </w:r>
      <w:r>
        <w:rPr>
          <w:rFonts w:hint="eastAsia" w:ascii="仿宋_GB2312" w:hAnsi="仿宋_GB2312" w:eastAsia="仿宋_GB2312" w:cs="仿宋_GB2312"/>
          <w:color w:val="auto"/>
          <w:highlight w:val="none"/>
          <w:lang w:val="en-US" w:eastAsia="zh-CN"/>
        </w:rPr>
        <w:t>企业配套项目，打造</w:t>
      </w:r>
      <w:r>
        <w:rPr>
          <w:rFonts w:hint="eastAsia" w:cs="仿宋_GB2312"/>
          <w:color w:val="auto"/>
          <w:highlight w:val="none"/>
          <w:lang w:val="en-US" w:eastAsia="zh-CN"/>
        </w:rPr>
        <w:t>黄河大道</w:t>
      </w:r>
      <w:r>
        <w:rPr>
          <w:rFonts w:hint="eastAsia" w:ascii="仿宋_GB2312" w:hAnsi="仿宋_GB2312" w:eastAsia="仿宋_GB2312" w:cs="仿宋_GB2312"/>
          <w:color w:val="auto"/>
          <w:highlight w:val="none"/>
          <w:lang w:val="en-US" w:eastAsia="zh-CN"/>
        </w:rPr>
        <w:t>沿线产业集聚、功能复合的“经济走廊”。</w:t>
      </w:r>
    </w:p>
    <w:p w14:paraId="6B4AC3C1">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仿宋_GB2312" w:hAnsi="仿宋_GB2312" w:eastAsia="仿宋_GB2312" w:cs="仿宋_GB2312"/>
          <w:color w:val="auto"/>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（四）打造优质高效的服务配套体系。</w:t>
      </w:r>
      <w:r>
        <w:rPr>
          <w:rFonts w:hint="eastAsia" w:ascii="仿宋_GB2312" w:hAnsi="仿宋_GB2312" w:eastAsia="仿宋_GB2312" w:cs="仿宋_GB2312"/>
          <w:color w:val="auto"/>
          <w:highlight w:val="none"/>
          <w:lang w:val="en-US" w:eastAsia="zh-CN"/>
        </w:rPr>
        <w:t>主动承接起步区功能外溢，建设功能</w:t>
      </w:r>
      <w:r>
        <w:rPr>
          <w:rFonts w:hint="eastAsia" w:cs="仿宋_GB2312"/>
          <w:color w:val="auto"/>
          <w:highlight w:val="none"/>
          <w:lang w:val="en-US" w:eastAsia="zh-CN"/>
        </w:rPr>
        <w:t>辐射</w:t>
      </w:r>
      <w:r>
        <w:rPr>
          <w:rFonts w:hint="eastAsia" w:ascii="仿宋_GB2312" w:hAnsi="仿宋_GB2312" w:eastAsia="仿宋_GB2312" w:cs="仿宋_GB2312"/>
          <w:color w:val="auto"/>
          <w:highlight w:val="none"/>
          <w:lang w:val="en-US" w:eastAsia="zh-CN"/>
        </w:rPr>
        <w:t>承载区和优质生活服务区。规划国际社区、优质学区与特色商业街区，积极培育高端消费业态，布局精品商业、品牌首店与体验式消费场景，加快建设</w:t>
      </w:r>
      <w:r>
        <w:rPr>
          <w:rFonts w:hint="eastAsia" w:cs="仿宋_GB2312"/>
          <w:color w:val="auto"/>
          <w:highlight w:val="none"/>
          <w:lang w:val="en-US" w:eastAsia="zh-CN"/>
        </w:rPr>
        <w:t>济南</w:t>
      </w:r>
      <w:r>
        <w:rPr>
          <w:rFonts w:hint="eastAsia" w:ascii="仿宋_GB2312" w:hAnsi="仿宋_GB2312" w:eastAsia="仿宋_GB2312" w:cs="仿宋_GB2312"/>
          <w:color w:val="auto"/>
          <w:highlight w:val="none"/>
          <w:lang w:val="en-US" w:eastAsia="zh-CN"/>
        </w:rPr>
        <w:t>黄河北区域性消费中心</w:t>
      </w:r>
      <w:r>
        <w:rPr>
          <w:rFonts w:hint="eastAsia" w:cs="仿宋_GB2312"/>
          <w:color w:val="auto"/>
          <w:highlight w:val="none"/>
          <w:lang w:val="en-US" w:eastAsia="zh-CN"/>
        </w:rPr>
        <w:t>，</w:t>
      </w:r>
      <w:r>
        <w:rPr>
          <w:rFonts w:hint="eastAsia" w:ascii="仿宋_GB2312" w:hAnsi="仿宋_GB2312" w:eastAsia="仿宋_GB2312" w:cs="仿宋_GB2312"/>
          <w:color w:val="auto"/>
          <w:highlight w:val="none"/>
          <w:lang w:val="en-US" w:eastAsia="zh-CN"/>
        </w:rPr>
        <w:t>扎实推进澄波湖园林度假酒店等重点项目，提升区域服务能级与接待品质。发展工业设计、检验检测、仓储物流等生产性服务业，构建低成本、专业化服务支撑。依托黄河、徒骇河等生态资源，建设滨水公园、休闲绿道与康养基地，</w:t>
      </w:r>
      <w:r>
        <w:rPr>
          <w:rFonts w:hint="eastAsia" w:cs="仿宋_GB2312"/>
          <w:color w:val="auto"/>
          <w:highlight w:val="none"/>
          <w:lang w:val="en-US" w:eastAsia="zh-CN"/>
        </w:rPr>
        <w:t>联动</w:t>
      </w:r>
      <w:r>
        <w:rPr>
          <w:rFonts w:hint="eastAsia" w:ascii="仿宋_GB2312" w:hAnsi="仿宋_GB2312" w:eastAsia="仿宋_GB2312" w:cs="仿宋_GB2312"/>
          <w:color w:val="auto"/>
          <w:highlight w:val="none"/>
          <w:lang w:val="en-US" w:eastAsia="zh-CN"/>
        </w:rPr>
        <w:t>起步区</w:t>
      </w:r>
      <w:r>
        <w:rPr>
          <w:rFonts w:hint="eastAsia" w:cs="仿宋_GB2312"/>
          <w:color w:val="auto"/>
          <w:highlight w:val="none"/>
          <w:lang w:val="en-US" w:eastAsia="zh-CN"/>
        </w:rPr>
        <w:t>打造</w:t>
      </w:r>
      <w:r>
        <w:rPr>
          <w:rFonts w:hint="eastAsia" w:ascii="仿宋_GB2312" w:hAnsi="仿宋_GB2312" w:eastAsia="仿宋_GB2312" w:cs="仿宋_GB2312"/>
          <w:color w:val="auto"/>
          <w:highlight w:val="none"/>
          <w:lang w:val="en-US" w:eastAsia="zh-CN"/>
        </w:rPr>
        <w:t>生态休闲后花园。完善机制协同配套，推动与起步区在行政审批、市场监管、社保医疗等领域实现“跨区通办”“标准互认”，打造一体化营商环境。</w:t>
      </w:r>
    </w:p>
    <w:p w14:paraId="4B3D5738">
      <w:pPr>
        <w:pStyle w:val="3"/>
        <w:keepNext w:val="0"/>
        <w:keepLines w:val="0"/>
        <w:pageBreakBefore w:val="0"/>
        <w:widowControl w:val="0"/>
        <w:shd w:val="clear"/>
        <w:kinsoku/>
        <w:wordWrap/>
        <w:overflowPunct w:val="0"/>
        <w:topLinePunct w:val="0"/>
        <w:autoSpaceDE/>
        <w:autoSpaceDN/>
        <w:bidi w:val="0"/>
        <w:adjustRightInd/>
        <w:snapToGrid/>
        <w:spacing w:beforeLines="0" w:afterLines="0"/>
        <w:ind w:left="0" w:leftChars="0" w:firstLineChars="200"/>
        <w:jc w:val="both"/>
        <w:textAlignment w:val="auto"/>
        <w:outlineLvl w:val="1"/>
        <w:rPr>
          <w:rFonts w:hint="eastAsia" w:ascii="黑体" w:hAnsi="黑体" w:eastAsia="黑体" w:cs="黑体"/>
          <w:color w:val="auto"/>
          <w:highlight w:val="none"/>
        </w:rPr>
      </w:pPr>
      <w:bookmarkStart w:id="255" w:name="_Toc4671"/>
      <w:bookmarkStart w:id="256" w:name="_Toc29271"/>
      <w:bookmarkStart w:id="257" w:name="_Toc4995"/>
      <w:bookmarkStart w:id="258" w:name="_Toc23025"/>
      <w:bookmarkStart w:id="259" w:name="_Toc4081"/>
      <w:r>
        <w:rPr>
          <w:rFonts w:hint="eastAsia" w:ascii="黑体" w:hAnsi="黑体" w:eastAsia="黑体" w:cs="黑体"/>
          <w:color w:val="auto"/>
          <w:highlight w:val="none"/>
          <w:lang w:val="en-US" w:eastAsia="zh-CN"/>
        </w:rPr>
        <w:t>三、</w:t>
      </w:r>
      <w:bookmarkEnd w:id="253"/>
      <w:bookmarkEnd w:id="254"/>
      <w:bookmarkEnd w:id="255"/>
      <w:bookmarkEnd w:id="256"/>
      <w:bookmarkEnd w:id="257"/>
      <w:r>
        <w:rPr>
          <w:rFonts w:hint="eastAsia" w:ascii="黑体" w:hAnsi="黑体" w:eastAsia="黑体" w:cs="黑体"/>
          <w:color w:val="auto"/>
          <w:highlight w:val="none"/>
        </w:rPr>
        <w:t>构建多层次区域协同发展新格局</w:t>
      </w:r>
      <w:bookmarkEnd w:id="258"/>
      <w:bookmarkEnd w:id="259"/>
    </w:p>
    <w:p w14:paraId="6EB83937">
      <w:pPr>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outlineLvl w:val="9"/>
        <w:rPr>
          <w:rFonts w:hint="eastAsia" w:ascii="仿宋_GB2312" w:hAnsi="仿宋_GB2312" w:eastAsia="仿宋_GB2312" w:cs="仿宋_GB2312"/>
          <w:color w:val="auto"/>
          <w:sz w:val="32"/>
          <w:szCs w:val="22"/>
          <w:highlight w:val="none"/>
          <w:lang w:val="en-US" w:eastAsia="zh-CN" w:bidi="ar-SA"/>
        </w:rPr>
      </w:pPr>
      <w:r>
        <w:rPr>
          <w:rFonts w:hint="eastAsia" w:ascii="仿宋_GB2312" w:hAnsi="仿宋_GB2312" w:eastAsia="仿宋_GB2312" w:cs="仿宋_GB2312"/>
          <w:color w:val="auto"/>
          <w:sz w:val="32"/>
          <w:szCs w:val="22"/>
          <w:highlight w:val="none"/>
          <w:lang w:val="en-US" w:eastAsia="zh-CN" w:bidi="ar-SA"/>
        </w:rPr>
        <w:t>深入贯彻落实</w:t>
      </w:r>
      <w:r>
        <w:rPr>
          <w:rFonts w:hint="eastAsia" w:cs="仿宋_GB2312"/>
          <w:color w:val="auto"/>
          <w:sz w:val="32"/>
          <w:szCs w:val="22"/>
          <w:highlight w:val="none"/>
          <w:lang w:val="en-US" w:eastAsia="zh-CN" w:bidi="ar-SA"/>
        </w:rPr>
        <w:t>黄河流域生态保护和高质量发展</w:t>
      </w:r>
      <w:r>
        <w:rPr>
          <w:rFonts w:hint="eastAsia" w:ascii="仿宋_GB2312" w:hAnsi="仿宋_GB2312" w:eastAsia="仿宋_GB2312" w:cs="仿宋_GB2312"/>
          <w:color w:val="auto"/>
          <w:sz w:val="32"/>
          <w:szCs w:val="22"/>
          <w:highlight w:val="none"/>
          <w:lang w:val="en-US" w:eastAsia="zh-CN" w:bidi="ar-SA"/>
        </w:rPr>
        <w:t>战略，强化区域协调发展，深化对口支援，推动区域协作向全方位、多领域、深层次拓展，增强发展动能并服务国家协调发展大局。</w:t>
      </w:r>
    </w:p>
    <w:p w14:paraId="1F8F369B">
      <w:pPr>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bidi="ar-SA"/>
        </w:rPr>
        <w:t>（一）纵深推进黄河流域生态保护和高质量发展战略。</w:t>
      </w:r>
      <w:r>
        <w:rPr>
          <w:rFonts w:hint="eastAsia"/>
          <w:color w:val="auto"/>
          <w:kern w:val="2"/>
          <w:szCs w:val="32"/>
          <w:highlight w:val="none"/>
          <w:lang w:val="en-US" w:eastAsia="zh-CN"/>
        </w:rPr>
        <w:t>推动沿黄区域生态保护和修复，以黄河流域生态保护为首要任务，构建多层次生态安全屏障。严格落实黄河岸线管控要求，实施河道清障、滩区生态修复工程，提升黄河河道行洪能力和生态功能。加大沿黄区域水土流失治理力度，推进植树造林，扩大生态空间容量。建立健全跨区域生态保护协同机制，加强与黄河流域上下游地区的联动，共同推进水资源节约集约利用，严格落实用水总量和强度双控，推广节水技术和模式，筑牢黄河下游生态安全的坚实防线。积极参与黄河流域城市间的产业协作、资源共享和功能互补，共同构建布局合理、分工明确的产业协同发展体系。紧抓济南携河北跨机遇，全力承接济南中心城区相关功能疏解，分享中心城区的资源和市场。</w:t>
      </w:r>
    </w:p>
    <w:p w14:paraId="2697BFE0">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color w:val="auto"/>
          <w:kern w:val="2"/>
          <w:szCs w:val="32"/>
          <w:highlight w:val="none"/>
        </w:rPr>
        <w:t>（二）建设现代化济南都市圈北部桥头堡</w:t>
      </w:r>
      <w:r>
        <w:rPr>
          <w:rFonts w:hint="eastAsia" w:ascii="楷体_GB2312" w:hAnsi="楷体_GB2312" w:eastAsia="楷体_GB2312" w:cs="楷体_GB2312"/>
          <w:b w:val="0"/>
          <w:bCs w:val="0"/>
          <w:color w:val="auto"/>
          <w:spacing w:val="0"/>
          <w:sz w:val="32"/>
          <w:szCs w:val="32"/>
          <w:highlight w:val="none"/>
          <w:lang w:val="en-US" w:eastAsia="zh-CN" w:bidi="ar-SA"/>
        </w:rPr>
        <w:t>。</w:t>
      </w:r>
      <w:r>
        <w:rPr>
          <w:rFonts w:hint="eastAsia"/>
          <w:color w:val="auto"/>
          <w:kern w:val="2"/>
          <w:szCs w:val="32"/>
          <w:highlight w:val="none"/>
        </w:rPr>
        <w:t>强化区域协调发展，优先推动基础设施互联互通，加快推进</w:t>
      </w:r>
      <w:r>
        <w:rPr>
          <w:rFonts w:hint="eastAsia" w:ascii="仿宋_GB2312" w:hAnsi="仿宋_GB2312" w:eastAsia="仿宋_GB2312" w:cs="仿宋_GB2312"/>
          <w:color w:val="auto"/>
          <w:sz w:val="32"/>
          <w:szCs w:val="32"/>
          <w:highlight w:val="none"/>
          <w:lang w:val="en-US" w:eastAsia="zh-CN" w:bidi="ar-SA"/>
        </w:rPr>
        <w:t>S241临徐线济章黄河大桥及连接线</w:t>
      </w:r>
      <w:r>
        <w:rPr>
          <w:rFonts w:hint="eastAsia"/>
          <w:color w:val="auto"/>
          <w:kern w:val="2"/>
          <w:szCs w:val="32"/>
          <w:highlight w:val="none"/>
        </w:rPr>
        <w:t>、S241改扩建、G220东深线济南先行区改线段、济滨高铁等项目建设，强化与滨州、德州等毗邻区域的高效衔接。围绕主导产业</w:t>
      </w:r>
      <w:r>
        <w:rPr>
          <w:rFonts w:hint="eastAsia"/>
          <w:color w:val="auto"/>
          <w:kern w:val="2"/>
          <w:szCs w:val="32"/>
          <w:highlight w:val="none"/>
          <w:lang w:eastAsia="zh-CN"/>
        </w:rPr>
        <w:t>、</w:t>
      </w:r>
      <w:r>
        <w:rPr>
          <w:rFonts w:hint="eastAsia"/>
          <w:color w:val="auto"/>
          <w:kern w:val="2"/>
          <w:szCs w:val="32"/>
          <w:highlight w:val="none"/>
          <w:lang w:val="en-US" w:eastAsia="zh-CN"/>
        </w:rPr>
        <w:t>特色产业</w:t>
      </w:r>
      <w:r>
        <w:rPr>
          <w:rFonts w:hint="eastAsia"/>
          <w:color w:val="auto"/>
          <w:kern w:val="2"/>
          <w:szCs w:val="32"/>
          <w:highlight w:val="none"/>
        </w:rPr>
        <w:t>和新兴产业，推动产业链上下游协同合作，建立产业联盟，实现资源优化配置和优势互补。构筑安全保障一体联动体系，建立健全跨区域、多领域安全协同机制，加强公共安全、生态环境、食品药品等领域联防联控，完善信息共享、联合执法和应急处置机制，提升区域协同处置能力，为经济社会发展营造安全稳定环境。</w:t>
      </w:r>
    </w:p>
    <w:p w14:paraId="78FCC8DE">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color w:val="auto"/>
          <w:kern w:val="2"/>
          <w:szCs w:val="32"/>
          <w:highlight w:val="none"/>
        </w:rPr>
        <w:t>（</w:t>
      </w:r>
      <w:r>
        <w:rPr>
          <w:rFonts w:hint="eastAsia" w:ascii="楷体_GB2312" w:hAnsi="楷体_GB2312" w:eastAsia="楷体_GB2312" w:cs="楷体_GB2312"/>
          <w:color w:val="auto"/>
          <w:kern w:val="2"/>
          <w:szCs w:val="32"/>
          <w:highlight w:val="none"/>
          <w:lang w:val="en-US" w:eastAsia="zh-CN"/>
        </w:rPr>
        <w:t>三</w:t>
      </w:r>
      <w:r>
        <w:rPr>
          <w:rFonts w:hint="eastAsia" w:ascii="楷体_GB2312" w:hAnsi="楷体_GB2312" w:eastAsia="楷体_GB2312" w:cs="楷体_GB2312"/>
          <w:color w:val="auto"/>
          <w:kern w:val="2"/>
          <w:szCs w:val="32"/>
          <w:highlight w:val="none"/>
        </w:rPr>
        <w:t>）拓展更大范围区域协作</w:t>
      </w:r>
      <w:r>
        <w:rPr>
          <w:rFonts w:hint="eastAsia" w:ascii="楷体_GB2312" w:hAnsi="楷体_GB2312" w:eastAsia="楷体_GB2312" w:cs="楷体_GB2312"/>
          <w:b w:val="0"/>
          <w:bCs w:val="0"/>
          <w:color w:val="auto"/>
          <w:spacing w:val="0"/>
          <w:sz w:val="32"/>
          <w:szCs w:val="32"/>
          <w:highlight w:val="none"/>
          <w:lang w:val="en-US" w:eastAsia="zh-CN" w:bidi="ar-SA"/>
        </w:rPr>
        <w:t>。</w:t>
      </w:r>
      <w:r>
        <w:rPr>
          <w:rFonts w:hint="eastAsia"/>
          <w:color w:val="auto"/>
          <w:kern w:val="2"/>
          <w:szCs w:val="32"/>
          <w:highlight w:val="none"/>
        </w:rPr>
        <w:t>积极承接高端产业转移，深化对口支援，推动区域协作向全方位、多领域、深层次拓展。主动对接京津冀等国家区域重大战略，构建精准对接、高效承接的产业协作体系。建立跨区域产业合作信息平台，梳理重点区域产业外溢清单，结合自身产业基础和资源禀赋，重点吸引高端装备制造、现代服务业等优质项目。优化营商环境，完善配套政策，打造专业化承接载体，通过“飞地经济”“总部</w:t>
      </w:r>
      <w:r>
        <w:rPr>
          <w:rFonts w:hint="eastAsia"/>
          <w:color w:val="auto"/>
          <w:kern w:val="2"/>
          <w:szCs w:val="32"/>
          <w:highlight w:val="none"/>
          <w:lang w:eastAsia="zh-CN"/>
        </w:rPr>
        <w:t>＋</w:t>
      </w:r>
      <w:r>
        <w:rPr>
          <w:rFonts w:hint="eastAsia"/>
          <w:color w:val="auto"/>
          <w:kern w:val="2"/>
          <w:szCs w:val="32"/>
          <w:highlight w:val="none"/>
        </w:rPr>
        <w:t>生产基地”等模式，推动与重点区域的产业链供应链深度融合。深化东西部协作与对口支援，引导企业到协作地区投资兴业，共建产业合作园区，帮助培育特色产业。</w:t>
      </w:r>
      <w:bookmarkStart w:id="260" w:name="_Toc4914"/>
      <w:bookmarkStart w:id="261" w:name="_Toc25871"/>
      <w:bookmarkStart w:id="262" w:name="_Toc16168"/>
      <w:bookmarkStart w:id="263" w:name="_Toc20933"/>
      <w:bookmarkStart w:id="264" w:name="_Toc14717"/>
      <w:bookmarkStart w:id="265" w:name="_Toc23788"/>
      <w:r>
        <w:rPr>
          <w:rFonts w:hint="eastAsia"/>
          <w:color w:val="auto"/>
          <w:kern w:val="2"/>
          <w:szCs w:val="32"/>
          <w:highlight w:val="none"/>
        </w:rPr>
        <w:br w:type="page"/>
      </w:r>
    </w:p>
    <w:p w14:paraId="047937D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p>
    <w:p w14:paraId="372BAADE">
      <w:pPr>
        <w:keepNext w:val="0"/>
        <w:keepLines w:val="0"/>
        <w:pageBreakBefore w:val="0"/>
        <w:widowControl w:val="0"/>
        <w:shd w:val="clear"/>
        <w:kinsoku/>
        <w:wordWrap/>
        <w:overflowPunct w:val="0"/>
        <w:topLinePunct w:val="0"/>
        <w:autoSpaceDE/>
        <w:autoSpaceDN/>
        <w:bidi w:val="0"/>
        <w:adjustRightInd/>
        <w:snapToGrid/>
        <w:spacing w:before="157" w:beforeLines="50" w:after="157" w:afterLines="50" w:line="600" w:lineRule="exact"/>
        <w:ind w:left="0" w:leftChars="0" w:firstLine="0" w:firstLineChars="0"/>
        <w:jc w:val="center"/>
        <w:textAlignment w:val="auto"/>
        <w:outlineLvl w:val="0"/>
        <w:rPr>
          <w:rFonts w:hint="default" w:ascii="方正小标宋简体" w:hAnsi="方正小标宋简体" w:eastAsia="方正小标宋简体" w:cs="方正小标宋简体"/>
          <w:color w:val="auto"/>
          <w:spacing w:val="0"/>
          <w:kern w:val="0"/>
          <w:sz w:val="32"/>
          <w:szCs w:val="32"/>
          <w:highlight w:val="none"/>
          <w:lang w:val="en-US" w:eastAsia="zh-CN" w:bidi="ar"/>
        </w:rPr>
      </w:pPr>
      <w:bookmarkStart w:id="266" w:name="_Toc19477"/>
      <w:bookmarkStart w:id="267" w:name="_Toc12296"/>
      <w:r>
        <w:rPr>
          <w:rFonts w:hint="eastAsia" w:ascii="方正小标宋简体" w:hAnsi="方正小标宋简体" w:eastAsia="方正小标宋简体" w:cs="方正小标宋简体"/>
          <w:color w:val="auto"/>
          <w:spacing w:val="0"/>
          <w:kern w:val="0"/>
          <w:sz w:val="32"/>
          <w:szCs w:val="32"/>
          <w:highlight w:val="none"/>
          <w:lang w:val="en-US" w:eastAsia="zh-CN" w:bidi="ar"/>
        </w:rPr>
        <w:t>第七章  深挖激活内需潜能，构筑投资消费双轮驱动格局</w:t>
      </w:r>
      <w:bookmarkEnd w:id="260"/>
      <w:bookmarkEnd w:id="261"/>
      <w:bookmarkEnd w:id="262"/>
      <w:bookmarkEnd w:id="263"/>
      <w:bookmarkEnd w:id="264"/>
      <w:bookmarkEnd w:id="265"/>
      <w:bookmarkEnd w:id="266"/>
      <w:bookmarkEnd w:id="267"/>
    </w:p>
    <w:p w14:paraId="5660FAD5">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仿宋_GB2312" w:hAnsi="仿宋_GB2312" w:eastAsia="仿宋_GB2312" w:cs="仿宋_GB2312"/>
          <w:color w:val="auto"/>
          <w:kern w:val="2"/>
          <w:szCs w:val="32"/>
          <w:highlight w:val="none"/>
          <w:lang w:val="en-US" w:eastAsia="zh-CN"/>
        </w:rPr>
      </w:pPr>
      <w:bookmarkStart w:id="268" w:name="_Toc13567"/>
      <w:bookmarkStart w:id="269" w:name="_Toc25170"/>
      <w:bookmarkStart w:id="270" w:name="_Toc19136"/>
      <w:r>
        <w:rPr>
          <w:rFonts w:hint="eastAsia"/>
          <w:color w:val="auto"/>
          <w:highlight w:val="none"/>
          <w:lang w:val="en-US" w:eastAsia="zh-CN"/>
        </w:rPr>
        <w:t>坚持全方位扩大内需，统筹抓好消费和投资，积极融入全国统一大市场建设，以扩大有效益的投资增加高质量供给，以高质量供给满足居民多元消费需求，形成内需主导、消费拉动、内生增长的经济发展模式</w:t>
      </w:r>
      <w:r>
        <w:rPr>
          <w:rFonts w:hint="eastAsia" w:ascii="仿宋_GB2312" w:hAnsi="仿宋_GB2312" w:eastAsia="仿宋_GB2312" w:cs="仿宋_GB2312"/>
          <w:color w:val="auto"/>
          <w:kern w:val="2"/>
          <w:szCs w:val="32"/>
          <w:highlight w:val="none"/>
          <w:lang w:val="en-US" w:eastAsia="zh-CN"/>
        </w:rPr>
        <w:t>。</w:t>
      </w:r>
    </w:p>
    <w:p w14:paraId="2037C888">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271" w:name="_Toc5975"/>
      <w:bookmarkStart w:id="272" w:name="_Toc32460"/>
      <w:bookmarkStart w:id="273" w:name="_Toc26362"/>
      <w:bookmarkStart w:id="274" w:name="_Toc20777"/>
      <w:bookmarkStart w:id="275" w:name="_Toc24972"/>
      <w:r>
        <w:rPr>
          <w:rFonts w:hint="eastAsia" w:ascii="黑体" w:hAnsi="黑体" w:eastAsia="黑体" w:cs="黑体"/>
          <w:color w:val="auto"/>
          <w:highlight w:val="none"/>
          <w:lang w:val="en-US" w:eastAsia="zh-CN"/>
        </w:rPr>
        <w:t>一、高标准打造济南黄河北区域性消费中心</w:t>
      </w:r>
      <w:bookmarkEnd w:id="268"/>
      <w:bookmarkEnd w:id="269"/>
      <w:bookmarkEnd w:id="270"/>
      <w:bookmarkEnd w:id="271"/>
      <w:bookmarkEnd w:id="272"/>
      <w:bookmarkEnd w:id="273"/>
      <w:bookmarkEnd w:id="274"/>
      <w:bookmarkEnd w:id="275"/>
    </w:p>
    <w:p w14:paraId="7D6910EB">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ascii="楷体_GB2312" w:hAnsi="楷体_GB2312" w:eastAsia="楷体_GB2312" w:cs="楷体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坚持惠民生和促消费相结合，加快集聚优质消费资源，</w:t>
      </w:r>
      <w:r>
        <w:rPr>
          <w:rFonts w:hint="eastAsia" w:cs="仿宋_GB2312"/>
          <w:b w:val="0"/>
          <w:bCs w:val="0"/>
          <w:color w:val="auto"/>
          <w:spacing w:val="0"/>
          <w:sz w:val="32"/>
          <w:szCs w:val="32"/>
          <w:highlight w:val="none"/>
          <w:lang w:val="en-US" w:eastAsia="zh-CN"/>
        </w:rPr>
        <w:t>优化</w:t>
      </w:r>
      <w:r>
        <w:rPr>
          <w:rFonts w:hint="eastAsia" w:ascii="仿宋_GB2312" w:hAnsi="仿宋_GB2312" w:eastAsia="仿宋_GB2312" w:cs="仿宋_GB2312"/>
          <w:b w:val="0"/>
          <w:bCs w:val="0"/>
          <w:color w:val="auto"/>
          <w:spacing w:val="0"/>
          <w:sz w:val="32"/>
          <w:szCs w:val="32"/>
          <w:highlight w:val="none"/>
          <w:lang w:val="en-US" w:eastAsia="zh-CN"/>
        </w:rPr>
        <w:t>消费环境</w:t>
      </w:r>
      <w:r>
        <w:rPr>
          <w:rFonts w:hint="eastAsia" w:cs="仿宋_GB2312"/>
          <w:b w:val="0"/>
          <w:bCs w:val="0"/>
          <w:color w:val="auto"/>
          <w:spacing w:val="0"/>
          <w:sz w:val="32"/>
          <w:szCs w:val="32"/>
          <w:highlight w:val="none"/>
          <w:lang w:val="en-US" w:eastAsia="zh-CN"/>
        </w:rPr>
        <w:t>，</w:t>
      </w:r>
      <w:r>
        <w:rPr>
          <w:rFonts w:hint="eastAsia" w:ascii="仿宋_GB2312" w:hAnsi="仿宋_GB2312" w:eastAsia="仿宋_GB2312" w:cs="仿宋_GB2312"/>
          <w:b w:val="0"/>
          <w:bCs w:val="0"/>
          <w:color w:val="auto"/>
          <w:spacing w:val="0"/>
          <w:sz w:val="32"/>
          <w:szCs w:val="32"/>
          <w:highlight w:val="none"/>
          <w:lang w:val="en-US" w:eastAsia="zh-CN"/>
        </w:rPr>
        <w:t>更好适应居民品质化、多样化消费需求，增强消费对经济发展的基础性作用。</w:t>
      </w:r>
    </w:p>
    <w:p w14:paraId="5E40ABBE">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（一）全面提升消费供给质量。</w:t>
      </w:r>
      <w:r>
        <w:rPr>
          <w:rFonts w:hint="eastAsia"/>
          <w:color w:val="auto"/>
          <w:kern w:val="2"/>
          <w:szCs w:val="32"/>
          <w:highlight w:val="none"/>
          <w:lang w:val="en-US" w:eastAsia="zh-CN"/>
        </w:rPr>
        <w:t>落实促进居民消费的各项政策，引导开展各类促销活动，大力发展夜间经济，提升</w:t>
      </w:r>
      <w:r>
        <w:rPr>
          <w:rFonts w:hint="eastAsia" w:ascii="仿宋_GB2312" w:hAnsi="仿宋_GB2312" w:eastAsia="仿宋_GB2312" w:cs="仿宋_GB2312"/>
          <w:color w:val="auto"/>
          <w:sz w:val="32"/>
          <w:szCs w:val="32"/>
          <w:highlight w:val="none"/>
          <w:lang w:val="en-US" w:eastAsia="zh-CN"/>
        </w:rPr>
        <w:t>华聚仟喜荟</w:t>
      </w:r>
      <w:r>
        <w:rPr>
          <w:rFonts w:hint="eastAsia"/>
          <w:color w:val="auto"/>
          <w:kern w:val="2"/>
          <w:szCs w:val="32"/>
          <w:highlight w:val="none"/>
          <w:lang w:val="en-US" w:eastAsia="zh-CN"/>
        </w:rPr>
        <w:t>、华百广场、六福商业街、星光里商业街等商圈品质，推动汇鑫财富广场、银河金街商业中心等高端商业载体建设。稳定大宗消费，支持符合条件的汽车、家电等消费品以旧换新，持续释放消费潜力。加快济北特色农产品批发市场暨冷链物流基地建设项目、农副产品冷链物流集配中心项目建设，</w:t>
      </w:r>
      <w:r>
        <w:rPr>
          <w:rFonts w:hint="eastAsia" w:ascii="仿宋_GB2312" w:hAnsi="仿宋_GB2312" w:eastAsia="仿宋_GB2312" w:cs="仿宋_GB2312"/>
          <w:color w:val="auto"/>
          <w:sz w:val="32"/>
          <w:szCs w:val="32"/>
          <w:highlight w:val="none"/>
          <w:lang w:val="en-US" w:eastAsia="zh-CN" w:bidi="ar-SA"/>
        </w:rPr>
        <w:t>推动仁风富硒西瓜、曲堤黄瓜等27个“三品一标”农产品进入城市消费市场，形成</w:t>
      </w:r>
      <w:r>
        <w:rPr>
          <w:rFonts w:hint="eastAsia" w:cs="仿宋_GB2312"/>
          <w:color w:val="auto"/>
          <w:sz w:val="32"/>
          <w:szCs w:val="32"/>
          <w:highlight w:val="none"/>
          <w:lang w:val="en-US" w:eastAsia="zh-CN" w:bidi="ar-SA"/>
        </w:rPr>
        <w:t>“</w:t>
      </w:r>
      <w:r>
        <w:rPr>
          <w:rFonts w:hint="eastAsia" w:ascii="仿宋_GB2312" w:hAnsi="仿宋_GB2312" w:eastAsia="仿宋_GB2312" w:cs="仿宋_GB2312"/>
          <w:color w:val="auto"/>
          <w:sz w:val="32"/>
          <w:szCs w:val="32"/>
          <w:highlight w:val="none"/>
          <w:lang w:val="en-US" w:eastAsia="zh-CN" w:bidi="ar-SA"/>
        </w:rPr>
        <w:t>产地直供</w:t>
      </w:r>
      <w:r>
        <w:rPr>
          <w:rFonts w:hint="eastAsia" w:cs="仿宋_GB2312"/>
          <w:color w:val="auto"/>
          <w:sz w:val="32"/>
          <w:szCs w:val="32"/>
          <w:highlight w:val="none"/>
          <w:lang w:val="en-US" w:eastAsia="zh-CN" w:bidi="ar-SA"/>
        </w:rPr>
        <w:t>-</w:t>
      </w:r>
      <w:r>
        <w:rPr>
          <w:rFonts w:hint="eastAsia" w:ascii="仿宋_GB2312" w:hAnsi="仿宋_GB2312" w:eastAsia="仿宋_GB2312" w:cs="仿宋_GB2312"/>
          <w:color w:val="auto"/>
          <w:sz w:val="32"/>
          <w:szCs w:val="32"/>
          <w:highlight w:val="none"/>
          <w:lang w:val="en-US" w:eastAsia="zh-CN" w:bidi="ar-SA"/>
        </w:rPr>
        <w:t>品质认证</w:t>
      </w:r>
      <w:r>
        <w:rPr>
          <w:rFonts w:hint="eastAsia" w:cs="仿宋_GB2312"/>
          <w:color w:val="auto"/>
          <w:sz w:val="32"/>
          <w:szCs w:val="32"/>
          <w:highlight w:val="none"/>
          <w:lang w:val="en-US" w:eastAsia="zh-CN" w:bidi="ar-SA"/>
        </w:rPr>
        <w:t>-</w:t>
      </w:r>
      <w:r>
        <w:rPr>
          <w:rFonts w:hint="eastAsia" w:ascii="仿宋_GB2312" w:hAnsi="仿宋_GB2312" w:eastAsia="仿宋_GB2312" w:cs="仿宋_GB2312"/>
          <w:color w:val="auto"/>
          <w:sz w:val="32"/>
          <w:szCs w:val="32"/>
          <w:highlight w:val="none"/>
          <w:lang w:val="en-US" w:eastAsia="zh-CN" w:bidi="ar-SA"/>
        </w:rPr>
        <w:t>终端消费</w:t>
      </w:r>
      <w:r>
        <w:rPr>
          <w:rFonts w:hint="eastAsia" w:cs="仿宋_GB2312"/>
          <w:color w:val="auto"/>
          <w:sz w:val="32"/>
          <w:szCs w:val="32"/>
          <w:highlight w:val="none"/>
          <w:lang w:val="en-US" w:eastAsia="zh-CN" w:bidi="ar-SA"/>
        </w:rPr>
        <w:t>”</w:t>
      </w:r>
      <w:r>
        <w:rPr>
          <w:rFonts w:hint="eastAsia" w:ascii="仿宋_GB2312" w:hAnsi="仿宋_GB2312" w:eastAsia="仿宋_GB2312" w:cs="仿宋_GB2312"/>
          <w:color w:val="auto"/>
          <w:sz w:val="32"/>
          <w:szCs w:val="32"/>
          <w:highlight w:val="none"/>
          <w:lang w:val="en-US" w:eastAsia="zh-CN" w:bidi="ar-SA"/>
        </w:rPr>
        <w:t>的全链条消费闭环。开展电商培训工程，</w:t>
      </w:r>
      <w:r>
        <w:rPr>
          <w:rFonts w:hint="eastAsia"/>
          <w:color w:val="auto"/>
          <w:kern w:val="2"/>
          <w:szCs w:val="32"/>
          <w:highlight w:val="none"/>
          <w:lang w:val="en-US" w:eastAsia="zh-CN"/>
        </w:rPr>
        <w:t>培育本土主播队伍，建立电商孵化和直播带货一体化产业矩阵，推动特色农产品线上销售。结合国家农村电商高质量发展政策，建设县域直播电商基地，拓展“直播＋认养农业”“短视频＋乡村旅游”等消费新模式，促进农业消费与数字经济深度融合。</w:t>
      </w:r>
    </w:p>
    <w:p w14:paraId="743B2F0C">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（二）建强高品质消费载体。</w:t>
      </w:r>
      <w:r>
        <w:rPr>
          <w:rFonts w:hint="eastAsia"/>
          <w:color w:val="auto"/>
          <w:kern w:val="2"/>
          <w:szCs w:val="32"/>
          <w:highlight w:val="none"/>
          <w:lang w:val="en-US" w:eastAsia="zh-CN"/>
        </w:rPr>
        <w:t>聚焦提升“老城”活力、“新城”动力，打造滨河片区、济滨高铁济阳站片区、回河片区及各街道（镇）驻地等一批新消费场景类项目，创新消费场景、引领消费热点、激发消费活力，提高全业态全场景消费体验，持续推进消费升级。推进澄波湖园林度假酒店项目、温泉旅游酒店扩建项目、高端“婚庆＋多元业态”的酒店综合体项目等文旅服务设施建设，丰富消费场景。围绕高铁站及轨道站点，布局高密度、复合功能的商业服务核心，打造站城一体化消费新场景。创新发展电子商务产业，实现实体店和网上商店有机融合，探索建立店商、电商、零售服务商相结合的新型零售业，为中小微电子商务企业营造良好经营环境。围绕服务起步区、机场及周边区域发展需求，聚焦山东艺术设计职业学院、达沃智慧产业园等重点人群集聚区，加强济南黄河北区域性消费中心项目谋划储备，系统谋划一批具有带动效应的消费促进与市场活力提升项目，持续夯实消费载体建设与有效投资基础。</w:t>
      </w:r>
    </w:p>
    <w:p w14:paraId="5A9C10EE">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（三）打造优质消费环境。</w:t>
      </w:r>
      <w:r>
        <w:rPr>
          <w:rFonts w:hint="eastAsia"/>
          <w:color w:val="auto"/>
          <w:kern w:val="2"/>
          <w:szCs w:val="32"/>
          <w:highlight w:val="none"/>
          <w:lang w:val="en-US" w:eastAsia="zh-CN"/>
        </w:rPr>
        <w:t>健全消费领域信用体系，鼓励社区、商场、景点、企业设立消费维权服务站，全力维护消费者权益。落实和完善带薪休假制度，扩大节假日消费，持续优化消费氛围。通过规范市场秩序、强化权益保障，构建让消费者放心的消费环境，提振消费信心，促进消费持续增长。扩大优质商品和服务供给激发消费意愿，推动商品消费实现“从量到质、从有到优”的飞跃，丰富服务消费多元供给，增强居民消费能力。实施食品安全红黑榜公示制度，建立冷链物流溯源体系，引入区块链技术，实现从农场到餐桌的全程透明化管理。依托“好品山东”品牌建设政策，建立农产品质量标准化体系，推行“好味知济”品牌动态管理机制，强化地理标志产品保护，同步推进预付卡“济南预付宝”监管平台扩大覆盖面，切实保障消费者权益。</w:t>
      </w:r>
    </w:p>
    <w:p w14:paraId="0D95A0FA">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color w:val="auto"/>
          <w:kern w:val="2"/>
          <w:szCs w:val="32"/>
          <w:highlight w:val="none"/>
          <w:lang w:val="en-US" w:eastAsia="zh-CN"/>
        </w:rPr>
        <w:t>（四）培育消费新业态新模式新场景。</w:t>
      </w:r>
      <w:r>
        <w:rPr>
          <w:rFonts w:hint="eastAsia"/>
          <w:color w:val="auto"/>
          <w:kern w:val="2"/>
          <w:szCs w:val="32"/>
          <w:highlight w:val="none"/>
          <w:lang w:val="en-US" w:eastAsia="zh-CN"/>
        </w:rPr>
        <w:t>以新消费需求引领供给创新，加快推动消费业态升级和模式迭代，打造一批带动面广、显示度高的消费新场景，培育消费新增长点。大力发展首发经济，积极招引国内外知名商业品牌首店、旗舰店，力争2030年累计招引15家以上。壮大悦己经济、低空经济、文旅经济等新业态，培育动漫周边、影视衍生品等“谷子经济”，加速推动智能网联汽车、智能穿戴、智能家居、机器人等新技术新产品开发应用。培育特色夜间经济集聚区，持续拓展文娱体育消费空间，支持打造一批适应青年需求的新生代潮玩聚集地。推动购物消费多元融合发展，推动现有步行街设施改造和业态升级，鼓励利用城市公园、草坪广场等开放空间打造创意市集、露营休闲区。完善一刻钟便民生活圈，提升社区商业便利性，激发居民日常消费活力。建设新消费品牌创新城区，培育一批中华老字号、非遗、国货“潮品”消费，鼓励开展特色化、引领性品牌创建。</w:t>
      </w:r>
    </w:p>
    <w:p w14:paraId="07020FD8">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276" w:name="_Toc8346"/>
      <w:bookmarkStart w:id="277" w:name="_Toc14902"/>
      <w:bookmarkStart w:id="278" w:name="_Toc17054"/>
      <w:bookmarkStart w:id="279" w:name="_Toc7734"/>
      <w:bookmarkStart w:id="280" w:name="_Toc24901"/>
      <w:bookmarkStart w:id="281" w:name="_Toc17327"/>
      <w:bookmarkStart w:id="282" w:name="_Toc9753"/>
      <w:bookmarkStart w:id="283" w:name="_Toc21810"/>
      <w:r>
        <w:rPr>
          <w:rFonts w:hint="eastAsia" w:ascii="黑体" w:hAnsi="黑体" w:eastAsia="黑体" w:cs="黑体"/>
          <w:color w:val="auto"/>
          <w:highlight w:val="none"/>
          <w:lang w:val="en-US" w:eastAsia="zh-CN"/>
        </w:rPr>
        <w:t>二、积极扩大有效益的投资</w:t>
      </w:r>
      <w:bookmarkEnd w:id="276"/>
      <w:bookmarkEnd w:id="277"/>
      <w:bookmarkEnd w:id="278"/>
      <w:bookmarkEnd w:id="279"/>
      <w:bookmarkEnd w:id="280"/>
      <w:bookmarkEnd w:id="281"/>
      <w:bookmarkEnd w:id="282"/>
      <w:bookmarkEnd w:id="283"/>
    </w:p>
    <w:p w14:paraId="1EC67CE1">
      <w:pPr>
        <w:keepNext w:val="0"/>
        <w:keepLines w:val="0"/>
        <w:pageBreakBefore w:val="0"/>
        <w:widowControl w:val="0"/>
        <w:shd w:val="clear"/>
        <w:kinsoku/>
        <w:wordWrap/>
        <w:overflowPunct w:val="0"/>
        <w:topLinePunct w:val="0"/>
        <w:autoSpaceDE/>
        <w:autoSpaceDN/>
        <w:bidi w:val="0"/>
        <w:adjustRightInd w:val="0"/>
        <w:snapToGrid w:val="0"/>
        <w:spacing w:beforeAutospacing="0" w:line="600" w:lineRule="exact"/>
        <w:ind w:firstLine="640" w:firstLineChars="200"/>
        <w:jc w:val="both"/>
        <w:textAlignment w:val="auto"/>
        <w:rPr>
          <w:rFonts w:hint="eastAsia" w:cs="仿宋_GB2312"/>
          <w:b w:val="0"/>
          <w:bCs w:val="0"/>
          <w:color w:val="auto"/>
          <w:sz w:val="32"/>
          <w:szCs w:val="40"/>
          <w:highlight w:val="none"/>
          <w:lang w:val="en-US" w:eastAsia="zh-CN"/>
        </w:rPr>
      </w:pPr>
      <w:r>
        <w:rPr>
          <w:rFonts w:hint="eastAsia" w:ascii="仿宋_GB2312" w:hAnsi="仿宋_GB2312" w:eastAsia="仿宋_GB2312" w:cs="仿宋_GB2312"/>
          <w:color w:val="auto"/>
          <w:sz w:val="32"/>
          <w:szCs w:val="32"/>
          <w:highlight w:val="none"/>
          <w:lang w:val="en-US" w:eastAsia="zh-CN" w:bidi="ar-SA"/>
        </w:rPr>
        <w:t>深化“投资于物”与“投资于人”紧密结合多元投融资机制创新，</w:t>
      </w:r>
      <w:r>
        <w:rPr>
          <w:rFonts w:hint="eastAsia" w:cs="仿宋_GB2312"/>
          <w:b w:val="0"/>
          <w:bCs w:val="0"/>
          <w:color w:val="auto"/>
          <w:sz w:val="32"/>
          <w:szCs w:val="40"/>
          <w:highlight w:val="none"/>
          <w:lang w:val="en-US" w:eastAsia="zh-CN"/>
        </w:rPr>
        <w:t>统筹扩大有效投资与优化项目资金保障，积极引导民间资本参与重点领域建设，促进资金高效配置、项目有序落地，全面增强投资对经济发展的支撑作用。</w:t>
      </w:r>
    </w:p>
    <w:p w14:paraId="19862BB7">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（一）精准扩大有效投资。</w:t>
      </w:r>
      <w:r>
        <w:rPr>
          <w:rFonts w:hint="eastAsia"/>
          <w:color w:val="auto"/>
          <w:kern w:val="2"/>
          <w:szCs w:val="32"/>
          <w:highlight w:val="none"/>
          <w:lang w:val="en-US" w:eastAsia="zh-CN"/>
        </w:rPr>
        <w:t>着力优化投资结构和方向，促进投资综合效益提升和规模合理增长，增强投资对优化供给结构的关键性作用。围绕重大战略实施和重点领域安全能力建设，聚焦交通、水利、能源、粮食、生态等领域，谋划储备、加快推进一批重大引领性工程。推进高水平技改升级和产品设备更新换代，推广国产先进设备。聚焦公共服务和消费服务，推动保障性住房、养老托育、社区服务等生活性服务类设施建设，扩大消费基础设施和服务功能提升类投资，形成消费和投资良性循环。有效盘活存量资产，实现存量与新增投资的良性循环。坚持以人为本、适度超前，持续提高民生领域财政支出比重，优化政府投资结构。重点引导公共资源向教育优质均衡、医疗提质扩容、全生命周期人力资源开发等领域倾斜，健全覆盖全民、普惠共享、可持续的多层次公共服务体系，为经济社会高质量发展提供坚实支撑。</w:t>
      </w:r>
    </w:p>
    <w:p w14:paraId="631B54E2">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（二）全力做好项目资金保障。</w:t>
      </w:r>
      <w:r>
        <w:rPr>
          <w:rFonts w:hint="eastAsia" w:ascii="仿宋_GB2312" w:hAnsi="仿宋_GB2312" w:eastAsia="仿宋_GB2312" w:cs="仿宋_GB2312"/>
          <w:b w:val="0"/>
          <w:bCs w:val="0"/>
          <w:color w:val="auto"/>
          <w:spacing w:val="0"/>
          <w:kern w:val="2"/>
          <w:sz w:val="32"/>
          <w:szCs w:val="32"/>
          <w:highlight w:val="none"/>
          <w:lang w:val="en-US" w:eastAsia="zh-CN"/>
        </w:rPr>
        <w:t>聚焦国家</w:t>
      </w:r>
      <w:r>
        <w:rPr>
          <w:rFonts w:hint="eastAsia" w:cs="仿宋_GB2312"/>
          <w:b w:val="0"/>
          <w:bCs w:val="0"/>
          <w:color w:val="auto"/>
          <w:spacing w:val="0"/>
          <w:kern w:val="2"/>
          <w:sz w:val="32"/>
          <w:szCs w:val="32"/>
          <w:highlight w:val="none"/>
          <w:lang w:val="en-US" w:eastAsia="zh-CN"/>
        </w:rPr>
        <w:t>“两重”“两新”</w:t>
      </w:r>
      <w:r>
        <w:rPr>
          <w:rFonts w:hint="eastAsia" w:ascii="仿宋_GB2312" w:hAnsi="仿宋_GB2312" w:eastAsia="仿宋_GB2312" w:cs="仿宋_GB2312"/>
          <w:b w:val="0"/>
          <w:bCs w:val="0"/>
          <w:color w:val="auto"/>
          <w:spacing w:val="0"/>
          <w:kern w:val="2"/>
          <w:sz w:val="32"/>
          <w:szCs w:val="32"/>
          <w:highlight w:val="none"/>
          <w:lang w:val="en-US" w:eastAsia="zh-CN"/>
        </w:rPr>
        <w:t>等重大政策导向，围绕各类政策性资金申报要求，谋划储备一批符合中央预算内投资、地方政府专项债券等支持方向的重大项目，积极争取政策性资金落地。</w:t>
      </w:r>
      <w:r>
        <w:rPr>
          <w:rFonts w:hint="eastAsia"/>
          <w:color w:val="auto"/>
          <w:kern w:val="2"/>
          <w:szCs w:val="32"/>
          <w:highlight w:val="none"/>
          <w:lang w:val="en-US" w:eastAsia="zh-CN"/>
        </w:rPr>
        <w:t>引导各类银行机构差异化发展，鼓励国有商业银行支持基础设施和重大项目，股份制及城市商业银行聚焦小微企业和民营经济，政策性银行强化“三农”服务。强化资本市场功能，实施企业上市培育工程，建立动态后备企业库，提供一站式服务。发展债券融资，引导培育多层次发债主体。促进股权投资业发展，吸引各类基金落户，发挥政府引导基金作用。搭建政金企合作平台，定期举办对接会，促进金融资源与实体经济精准对接。防范金融风险，常态化摸排重点领域风险，化解不良贷款，守牢安全底线。</w:t>
      </w:r>
    </w:p>
    <w:p w14:paraId="29C12922">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（三）进一步促进民间投资发展。</w:t>
      </w:r>
      <w:r>
        <w:rPr>
          <w:rFonts w:hint="eastAsia" w:ascii="仿宋_GB2312" w:hAnsi="仿宋_GB2312" w:eastAsia="仿宋_GB2312" w:cs="仿宋_GB2312"/>
          <w:b w:val="0"/>
          <w:bCs w:val="0"/>
          <w:color w:val="auto"/>
          <w:spacing w:val="0"/>
          <w:kern w:val="2"/>
          <w:sz w:val="32"/>
          <w:szCs w:val="32"/>
          <w:highlight w:val="none"/>
          <w:lang w:val="en-US" w:eastAsia="zh-CN"/>
        </w:rPr>
        <w:t>建立健全支持民间投资的长效机制，制定专项促进措施，探索建立区级重点民间投资项目库，保障民营企业公平参与重大项目建设。优化投资制度环境，全面落实市场准入负面清单，持续清理招投标、政府采购等领域的隐性壁垒与不合理限制。创新投融资模式，积极推广政府和社会资本合作新机制，推动国有资产证券化，引导社会资本投向先进制造、现代服务、绿色低碳等重点领域。完善政策服务体系，建设数字化惠企平台提升政策兑现效率，定期召开项目对接会并发布机会清单。强化合法权益保障，建立拖欠账款常态化预防清理机制，加强政务诚信建设，依法保障各类合同履行，切实维护民间投资主体的合法权益。</w:t>
      </w:r>
    </w:p>
    <w:p w14:paraId="04674A76">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0" w:firstLineChars="0"/>
        <w:jc w:val="center"/>
        <w:textAlignment w:val="auto"/>
        <w:outlineLvl w:val="2"/>
        <w:rPr>
          <w:rFonts w:hint="eastAsia" w:ascii="楷体_GB2312" w:hAnsi="楷体_GB2312" w:eastAsia="楷体_GB2312" w:cs="楷体_GB2312"/>
          <w:b w:val="0"/>
          <w:bCs w:val="0"/>
          <w:color w:val="auto"/>
          <w:spacing w:val="0"/>
          <w:kern w:val="2"/>
          <w:sz w:val="28"/>
          <w:szCs w:val="28"/>
          <w:highlight w:val="none"/>
          <w:lang w:val="en-US" w:eastAsia="zh-CN"/>
        </w:rPr>
      </w:pPr>
      <w:bookmarkStart w:id="284" w:name="_Toc29980"/>
      <w:bookmarkStart w:id="285" w:name="_Toc28699"/>
      <w:bookmarkStart w:id="286" w:name="_Toc12700"/>
      <w:bookmarkStart w:id="287" w:name="_Toc7058"/>
      <w:bookmarkStart w:id="288" w:name="_Toc26685"/>
      <w:bookmarkStart w:id="289" w:name="_Toc14986"/>
      <w:bookmarkStart w:id="290" w:name="_Toc1954"/>
      <w:r>
        <w:rPr>
          <w:rFonts w:hint="eastAsia" w:ascii="楷体_GB2312" w:hAnsi="楷体_GB2312" w:eastAsia="楷体_GB2312" w:cs="楷体_GB2312"/>
          <w:b w:val="0"/>
          <w:bCs w:val="0"/>
          <w:color w:val="auto"/>
          <w:spacing w:val="0"/>
          <w:kern w:val="2"/>
          <w:sz w:val="28"/>
          <w:szCs w:val="28"/>
          <w:highlight w:val="none"/>
          <w:lang w:val="en-US" w:eastAsia="zh-CN"/>
        </w:rPr>
        <w:t>专栏10  济南黄河北区域性消费中心建设重点任务</w:t>
      </w:r>
      <w:bookmarkEnd w:id="284"/>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76C3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Borders>
              <w:left w:val="nil"/>
              <w:right w:val="nil"/>
            </w:tcBorders>
          </w:tcPr>
          <w:p w14:paraId="188A38E5">
            <w:pPr>
              <w:keepNext w:val="0"/>
              <w:keepLines w:val="0"/>
              <w:pageBreakBefore w:val="0"/>
              <w:shd w:val="clear"/>
              <w:kinsoku/>
              <w:wordWrap/>
              <w:overflowPunct w:val="0"/>
              <w:topLinePunct w:val="0"/>
              <w:autoSpaceDE/>
              <w:autoSpaceDN/>
              <w:bidi w:val="0"/>
              <w:adjustRightInd/>
              <w:spacing w:line="480" w:lineRule="exact"/>
              <w:jc w:val="both"/>
              <w:textAlignment w:val="auto"/>
              <w:outlineLvl w:val="9"/>
              <w:rPr>
                <w:rFonts w:hint="eastAsia" w:ascii="楷体_GB2312" w:hAnsi="楷体_GB2312" w:eastAsia="楷体_GB2312" w:cs="楷体_GB2312"/>
                <w:color w:val="auto"/>
                <w:kern w:val="2"/>
                <w:sz w:val="28"/>
                <w:szCs w:val="28"/>
                <w:highlight w:val="none"/>
              </w:rPr>
            </w:pPr>
            <w:r>
              <w:rPr>
                <w:rFonts w:hint="eastAsia" w:ascii="楷体_GB2312" w:hAnsi="楷体_GB2312" w:eastAsia="楷体_GB2312" w:cs="楷体_GB2312"/>
                <w:b/>
                <w:bCs/>
                <w:color w:val="auto"/>
                <w:kern w:val="2"/>
                <w:sz w:val="28"/>
                <w:szCs w:val="28"/>
                <w:highlight w:val="none"/>
                <w:vertAlign w:val="baseline"/>
                <w:lang w:val="en-US" w:eastAsia="zh-CN"/>
              </w:rPr>
              <w:t>1.激活消费活力。</w:t>
            </w:r>
            <w:r>
              <w:rPr>
                <w:rFonts w:hint="eastAsia" w:ascii="楷体_GB2312" w:hAnsi="楷体_GB2312" w:eastAsia="楷体_GB2312" w:cs="楷体_GB2312"/>
                <w:color w:val="auto"/>
                <w:kern w:val="2"/>
                <w:sz w:val="28"/>
                <w:szCs w:val="28"/>
                <w:highlight w:val="none"/>
                <w:lang w:val="en-US" w:eastAsia="zh-CN"/>
              </w:rPr>
              <w:t>谋划老城沉浸式文旅体验和回河研学基地连片发展等项目，引进露营基地、民宿酒店等配套，打造夜间消费集聚区。</w:t>
            </w:r>
          </w:p>
          <w:p w14:paraId="04D75145">
            <w:pPr>
              <w:keepNext w:val="0"/>
              <w:keepLines w:val="0"/>
              <w:pageBreakBefore w:val="0"/>
              <w:shd w:val="clear"/>
              <w:kinsoku/>
              <w:wordWrap/>
              <w:overflowPunct w:val="0"/>
              <w:topLinePunct w:val="0"/>
              <w:autoSpaceDE/>
              <w:autoSpaceDN/>
              <w:bidi w:val="0"/>
              <w:adjustRightInd/>
              <w:spacing w:line="480" w:lineRule="exact"/>
              <w:jc w:val="both"/>
              <w:textAlignment w:val="auto"/>
              <w:outlineLvl w:val="9"/>
              <w:rPr>
                <w:rFonts w:hint="eastAsia" w:ascii="楷体_GB2312" w:hAnsi="楷体_GB2312" w:eastAsia="楷体_GB2312" w:cs="楷体_GB2312"/>
                <w:color w:val="auto"/>
                <w:kern w:val="2"/>
                <w:sz w:val="28"/>
                <w:szCs w:val="28"/>
                <w:highlight w:val="none"/>
              </w:rPr>
            </w:pPr>
            <w:r>
              <w:rPr>
                <w:rFonts w:hint="eastAsia" w:ascii="楷体_GB2312" w:hAnsi="楷体_GB2312" w:eastAsia="楷体_GB2312" w:cs="楷体_GB2312"/>
                <w:b/>
                <w:bCs/>
                <w:color w:val="auto"/>
                <w:kern w:val="2"/>
                <w:sz w:val="28"/>
                <w:szCs w:val="28"/>
                <w:highlight w:val="none"/>
                <w:lang w:val="en-US" w:eastAsia="zh-CN"/>
              </w:rPr>
              <w:t>2.</w:t>
            </w:r>
            <w:r>
              <w:rPr>
                <w:rFonts w:hint="eastAsia" w:ascii="楷体_GB2312" w:hAnsi="楷体_GB2312" w:eastAsia="楷体_GB2312" w:cs="楷体_GB2312"/>
                <w:b/>
                <w:bCs/>
                <w:color w:val="auto"/>
                <w:kern w:val="2"/>
                <w:sz w:val="28"/>
                <w:szCs w:val="28"/>
                <w:highlight w:val="none"/>
                <w:vertAlign w:val="baseline"/>
                <w:lang w:val="en-US" w:eastAsia="zh-CN"/>
              </w:rPr>
              <w:t>创新消费场景。</w:t>
            </w:r>
            <w:r>
              <w:rPr>
                <w:rFonts w:hint="eastAsia" w:ascii="楷体_GB2312" w:hAnsi="楷体_GB2312" w:eastAsia="楷体_GB2312" w:cs="楷体_GB2312"/>
                <w:color w:val="auto"/>
                <w:kern w:val="2"/>
                <w:sz w:val="28"/>
                <w:szCs w:val="28"/>
                <w:highlight w:val="none"/>
              </w:rPr>
              <w:t>鼓励首店经济、夜间经济、假日经济等新业态，支持传统商贸企业数字化转型，</w:t>
            </w:r>
            <w:r>
              <w:rPr>
                <w:rFonts w:hint="eastAsia" w:ascii="楷体_GB2312" w:hAnsi="楷体_GB2312" w:eastAsia="楷体_GB2312" w:cs="楷体_GB2312"/>
                <w:color w:val="auto"/>
                <w:kern w:val="2"/>
                <w:sz w:val="28"/>
                <w:szCs w:val="28"/>
                <w:highlight w:val="none"/>
                <w:vertAlign w:val="baseline"/>
                <w:lang w:val="en-US" w:eastAsia="zh-CN"/>
              </w:rPr>
              <w:t>合理规划商圈，推出具有济阳特色的商业街、夜间经济、外摆集市等消费场所，拓展休闲旅游、文化演出、体育娱乐、医疗康养等消费场景，积极吸引外来消费，让“选择消费”变成“品质刚需”。</w:t>
            </w:r>
          </w:p>
          <w:p w14:paraId="00C3376A">
            <w:pPr>
              <w:keepNext w:val="0"/>
              <w:keepLines w:val="0"/>
              <w:pageBreakBefore w:val="0"/>
              <w:shd w:val="clear"/>
              <w:kinsoku/>
              <w:wordWrap/>
              <w:overflowPunct w:val="0"/>
              <w:topLinePunct w:val="0"/>
              <w:autoSpaceDE/>
              <w:autoSpaceDN/>
              <w:bidi w:val="0"/>
              <w:adjustRightInd/>
              <w:spacing w:line="480" w:lineRule="exact"/>
              <w:jc w:val="both"/>
              <w:textAlignment w:val="auto"/>
              <w:outlineLvl w:val="9"/>
              <w:rPr>
                <w:rFonts w:hint="default" w:eastAsia="楷体_GB2312"/>
                <w:color w:val="auto"/>
                <w:highlight w:val="none"/>
                <w:lang w:val="en-US" w:eastAsia="zh-CN"/>
              </w:rPr>
            </w:pPr>
            <w:r>
              <w:rPr>
                <w:rFonts w:hint="eastAsia" w:ascii="楷体_GB2312" w:hAnsi="楷体_GB2312" w:eastAsia="楷体_GB2312" w:cs="楷体_GB2312"/>
                <w:b/>
                <w:bCs/>
                <w:color w:val="auto"/>
                <w:kern w:val="2"/>
                <w:sz w:val="28"/>
                <w:szCs w:val="28"/>
                <w:highlight w:val="none"/>
                <w:lang w:val="en-US" w:eastAsia="zh-CN"/>
              </w:rPr>
              <w:t>3.建设济南黄河北区域性消费中心。</w:t>
            </w:r>
            <w:r>
              <w:rPr>
                <w:rFonts w:hint="eastAsia" w:ascii="楷体_GB2312" w:hAnsi="楷体_GB2312" w:eastAsia="楷体_GB2312" w:cs="楷体_GB2312"/>
                <w:color w:val="auto"/>
                <w:kern w:val="2"/>
                <w:sz w:val="28"/>
                <w:szCs w:val="28"/>
                <w:highlight w:val="none"/>
                <w:lang w:val="en-US" w:eastAsia="zh-CN"/>
              </w:rPr>
              <w:t>聚焦回河片区功能提升，统筹盘活已拆迁村庄存量土地资源，强化商业开发与精准招商，规划建设服务区域、辐射周边的现代化消费中心，打造城市北部商业新节点。</w:t>
            </w:r>
          </w:p>
        </w:tc>
      </w:tr>
    </w:tbl>
    <w:p w14:paraId="78854B51">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291" w:name="_Toc23304"/>
      <w:bookmarkStart w:id="292" w:name="_Toc20246"/>
      <w:r>
        <w:rPr>
          <w:rFonts w:hint="eastAsia" w:ascii="黑体" w:hAnsi="黑体" w:eastAsia="黑体" w:cs="黑体"/>
          <w:color w:val="auto"/>
          <w:highlight w:val="none"/>
          <w:lang w:val="en-US" w:eastAsia="zh-CN"/>
        </w:rPr>
        <w:t>三、构建现代流通体系</w:t>
      </w:r>
      <w:bookmarkEnd w:id="285"/>
      <w:bookmarkEnd w:id="286"/>
      <w:bookmarkEnd w:id="287"/>
      <w:bookmarkEnd w:id="288"/>
      <w:bookmarkEnd w:id="289"/>
      <w:bookmarkEnd w:id="290"/>
      <w:bookmarkEnd w:id="291"/>
      <w:bookmarkEnd w:id="292"/>
    </w:p>
    <w:p w14:paraId="477DDD28">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color w:val="auto"/>
          <w:kern w:val="2"/>
          <w:szCs w:val="32"/>
          <w:highlight w:val="none"/>
          <w:lang w:val="en-US" w:eastAsia="zh-CN"/>
        </w:rPr>
      </w:pPr>
      <w:r>
        <w:rPr>
          <w:rFonts w:hint="default"/>
          <w:color w:val="auto"/>
          <w:kern w:val="2"/>
          <w:szCs w:val="32"/>
          <w:highlight w:val="none"/>
          <w:lang w:val="en-US" w:eastAsia="zh-CN"/>
        </w:rPr>
        <w:t>助力全国统一大市场建设，加快构建干线、支线和末端配送紧密衔接的智慧流通网，积极发展多式联运，完善物流网络</w:t>
      </w:r>
      <w:r>
        <w:rPr>
          <w:rFonts w:hint="eastAsia"/>
          <w:color w:val="auto"/>
          <w:kern w:val="2"/>
          <w:szCs w:val="32"/>
          <w:highlight w:val="none"/>
          <w:lang w:val="en-US" w:eastAsia="zh-CN"/>
        </w:rPr>
        <w:t>体系</w:t>
      </w:r>
      <w:r>
        <w:rPr>
          <w:rFonts w:hint="default"/>
          <w:color w:val="auto"/>
          <w:kern w:val="2"/>
          <w:szCs w:val="32"/>
          <w:highlight w:val="none"/>
          <w:lang w:val="en-US" w:eastAsia="zh-CN"/>
        </w:rPr>
        <w:t>，</w:t>
      </w:r>
      <w:r>
        <w:rPr>
          <w:rFonts w:hint="eastAsia"/>
          <w:color w:val="auto"/>
          <w:kern w:val="2"/>
          <w:szCs w:val="32"/>
          <w:highlight w:val="none"/>
          <w:lang w:val="en-US" w:eastAsia="zh-CN"/>
        </w:rPr>
        <w:t>推动</w:t>
      </w:r>
      <w:r>
        <w:rPr>
          <w:rFonts w:hint="default"/>
          <w:color w:val="auto"/>
          <w:kern w:val="2"/>
          <w:szCs w:val="32"/>
          <w:highlight w:val="none"/>
          <w:lang w:val="en-US" w:eastAsia="zh-CN"/>
        </w:rPr>
        <w:t>农产品进城和工业品下乡更加便捷。</w:t>
      </w:r>
    </w:p>
    <w:p w14:paraId="050A2F9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（一）积极发展流通经济。</w:t>
      </w:r>
      <w:r>
        <w:rPr>
          <w:rFonts w:hint="eastAsia"/>
          <w:color w:val="auto"/>
          <w:kern w:val="2"/>
          <w:szCs w:val="32"/>
          <w:highlight w:val="none"/>
          <w:lang w:val="en-US" w:eastAsia="zh-CN"/>
        </w:rPr>
        <w:t>优化商业网点布局和业态结构，建立等级清晰、功能配套的商贸布局体系。加快补齐农村商业设施短板，健全物流配送体系，推动县域商业高质量发展。贯通生产、分配、流通、消费全环节，构建“物流枢纽＋分拨配送中心＋首末网点”三级城乡物流网络，推进公铁联运智慧冷链物流基地、智链汇联智慧物流项目等重点项目建设，科学布局以济北食品工业示范区物流中心、济北智造产业发展区物流中心及垛石港区物流中心为核心的专业物流节点。完善末端配送体系，建设回河、新市、垛石、曲堤、仁风5个货运站，推动智能快件箱进社区、进校园，探索“邮快合作”“交快合作”“快快合作”等快递进村模式，推动农村电商与物流快递协同发展。</w:t>
      </w:r>
    </w:p>
    <w:p w14:paraId="65D64721">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（二）推进降低物流成本。</w:t>
      </w:r>
      <w:r>
        <w:rPr>
          <w:rFonts w:hint="eastAsia"/>
          <w:color w:val="auto"/>
          <w:kern w:val="2"/>
          <w:szCs w:val="32"/>
          <w:highlight w:val="none"/>
          <w:lang w:val="en-US" w:eastAsia="zh-CN"/>
        </w:rPr>
        <w:t>以优化资源配置效率为核心，通过强化区域物流协同减少资源冗余，完善多式联运衔接设施，发展公铁联运。加快济北特色农产品批发市场暨冷链物流基地建设项目、农副产品冷链物流集配中心项目等冷链设施建设，推动冷链服务向田间地头延伸，降低农产品流通损耗。推广新能源货运车辆，发展绿色包装与循环物流，落实降本增效政策，降低制度性交易与运营成本。</w:t>
      </w:r>
    </w:p>
    <w:p w14:paraId="60F02A01">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b w:val="0"/>
          <w:bCs w:val="0"/>
          <w:color w:val="auto"/>
          <w:spacing w:val="0"/>
          <w:kern w:val="2"/>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（三）畅通城乡商品双向流动。</w:t>
      </w:r>
      <w:r>
        <w:rPr>
          <w:rFonts w:hint="eastAsia"/>
          <w:color w:val="auto"/>
          <w:kern w:val="2"/>
          <w:szCs w:val="32"/>
          <w:highlight w:val="none"/>
          <w:lang w:val="en-US" w:eastAsia="zh-CN"/>
        </w:rPr>
        <w:t>着力完善以城区为中心、街道（镇）为节点、村（居）为腹地的三级物流配送体系，推动快递物流综合服务站村级全覆盖，降低农村物流成本。升级改造街道（镇）商贸中心和农村便民商店，丰富商业业态，优化消费环境。积极发展农村直播电商、即时零售等新业态，促进绿色智能家电、家居建材等优质工业品下乡。深入推进农产品“三品一标”建设，拓宽特色农产品上行通道，并依托乡村资源禀赋发展乡村旅游，促进城乡消费提质扩容。通过强化基础设施互联、市场体系共建与政策金融协同，有效破除要素流动壁垒，形成工农互促、城乡互补、双向畅通的良性发展格局。</w:t>
      </w:r>
    </w:p>
    <w:p w14:paraId="0FBC068F">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293" w:name="_Toc30109"/>
      <w:bookmarkStart w:id="294" w:name="_Toc29991"/>
      <w:r>
        <w:rPr>
          <w:rFonts w:hint="eastAsia" w:ascii="黑体" w:hAnsi="黑体" w:eastAsia="黑体" w:cs="黑体"/>
          <w:color w:val="auto"/>
          <w:highlight w:val="none"/>
          <w:lang w:val="en-US" w:eastAsia="zh-CN"/>
        </w:rPr>
        <w:t>四、融入全国统一大市场</w:t>
      </w:r>
      <w:bookmarkEnd w:id="293"/>
      <w:bookmarkEnd w:id="294"/>
    </w:p>
    <w:p w14:paraId="56E2C37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b w:val="0"/>
          <w:bCs w:val="0"/>
          <w:color w:val="auto"/>
          <w:spacing w:val="0"/>
          <w:kern w:val="2"/>
          <w:sz w:val="32"/>
          <w:szCs w:val="32"/>
          <w:highlight w:val="none"/>
          <w:lang w:val="en-US" w:eastAsia="zh-CN"/>
        </w:rPr>
      </w:pPr>
      <w:r>
        <w:rPr>
          <w:rFonts w:hint="eastAsia" w:ascii="仿宋_GB2312" w:hAnsi="仿宋_GB2312" w:eastAsia="仿宋_GB2312" w:cs="仿宋_GB2312"/>
          <w:b w:val="0"/>
          <w:bCs w:val="0"/>
          <w:color w:val="auto"/>
          <w:spacing w:val="0"/>
          <w:kern w:val="2"/>
          <w:sz w:val="32"/>
          <w:szCs w:val="32"/>
          <w:highlight w:val="none"/>
          <w:lang w:val="en-US" w:eastAsia="zh-CN"/>
        </w:rPr>
        <w:t>坚持“全国一盘棋”理念，聚焦市场主体关切与群众需求，全面实施市场准入负面清单管理，破除各类隐性门槛和不合理限制，持续清理妨碍统一市场建设的政策文件，切实做到“非禁即入、公平竞争”。依法平等保护各</w:t>
      </w:r>
      <w:r>
        <w:rPr>
          <w:rFonts w:hint="eastAsia" w:cs="仿宋_GB2312"/>
          <w:b w:val="0"/>
          <w:bCs w:val="0"/>
          <w:color w:val="auto"/>
          <w:spacing w:val="0"/>
          <w:kern w:val="2"/>
          <w:sz w:val="32"/>
          <w:szCs w:val="32"/>
          <w:highlight w:val="none"/>
          <w:lang w:val="en-US" w:eastAsia="zh-CN"/>
        </w:rPr>
        <w:t>种</w:t>
      </w:r>
      <w:r>
        <w:rPr>
          <w:rFonts w:hint="eastAsia" w:ascii="仿宋_GB2312" w:hAnsi="仿宋_GB2312" w:eastAsia="仿宋_GB2312" w:cs="仿宋_GB2312"/>
          <w:b w:val="0"/>
          <w:bCs w:val="0"/>
          <w:color w:val="auto"/>
          <w:spacing w:val="0"/>
          <w:kern w:val="2"/>
          <w:sz w:val="32"/>
          <w:szCs w:val="32"/>
          <w:highlight w:val="none"/>
          <w:lang w:val="en-US" w:eastAsia="zh-CN"/>
        </w:rPr>
        <w:t>所有制经济产权，强化知识产权行政执法与司法保护衔接，完善公共资源交易全流程电子化监管，推广“阳光交易”模式。</w:t>
      </w:r>
      <w:r>
        <w:rPr>
          <w:rFonts w:hint="eastAsia"/>
          <w:color w:val="auto"/>
          <w:highlight w:val="none"/>
          <w:lang w:val="en-US" w:eastAsia="zh-CN"/>
        </w:rPr>
        <w:t>严格政府采购招标管理，规范招标投标主体行为，支持中小企业和民营企业充分参与竞争。健全招商引资等制度规则，完善政策动态调整和公开机制，持续优化招商引资政策体系。强化反垄断和反不正当竞争执法，规范平台经济、共享经济等新业态竞争行为，依法查处低价倾销、滥用市场支配地位等违法行为，形成优质优价、良性竞争的市场秩序。</w:t>
      </w:r>
      <w:r>
        <w:rPr>
          <w:rFonts w:hint="eastAsia" w:ascii="仿宋_GB2312" w:hAnsi="仿宋_GB2312" w:eastAsia="仿宋_GB2312" w:cs="仿宋_GB2312"/>
          <w:b w:val="0"/>
          <w:bCs w:val="0"/>
          <w:color w:val="auto"/>
          <w:spacing w:val="0"/>
          <w:kern w:val="2"/>
          <w:sz w:val="32"/>
          <w:szCs w:val="32"/>
          <w:highlight w:val="none"/>
          <w:lang w:val="en-US" w:eastAsia="zh-CN"/>
        </w:rPr>
        <w:t>构建以信用为基础的新型监管机制，完善企业信用评价和分级分类监管。</w:t>
      </w:r>
    </w:p>
    <w:p w14:paraId="2B321E49">
      <w:pPr>
        <w:rPr>
          <w:rFonts w:hint="eastAsia" w:ascii="仿宋_GB2312" w:hAnsi="仿宋_GB2312" w:eastAsia="仿宋_GB2312" w:cs="仿宋_GB2312"/>
          <w:b w:val="0"/>
          <w:bCs w:val="0"/>
          <w:color w:val="auto"/>
          <w:spacing w:val="0"/>
          <w:kern w:val="2"/>
          <w:sz w:val="32"/>
          <w:szCs w:val="32"/>
          <w:highlight w:val="none"/>
          <w:lang w:val="en-US" w:eastAsia="zh-CN"/>
        </w:rPr>
      </w:pPr>
      <w:r>
        <w:rPr>
          <w:rFonts w:hint="eastAsia" w:ascii="仿宋_GB2312" w:hAnsi="仿宋_GB2312" w:eastAsia="仿宋_GB2312" w:cs="仿宋_GB2312"/>
          <w:b w:val="0"/>
          <w:bCs w:val="0"/>
          <w:color w:val="auto"/>
          <w:spacing w:val="0"/>
          <w:kern w:val="2"/>
          <w:sz w:val="32"/>
          <w:szCs w:val="32"/>
          <w:highlight w:val="none"/>
          <w:lang w:val="en-US" w:eastAsia="zh-CN"/>
        </w:rPr>
        <w:br w:type="page"/>
      </w:r>
    </w:p>
    <w:p w14:paraId="3DBEBC9C">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b w:val="0"/>
          <w:bCs w:val="0"/>
          <w:color w:val="auto"/>
          <w:spacing w:val="0"/>
          <w:kern w:val="2"/>
          <w:sz w:val="32"/>
          <w:szCs w:val="32"/>
          <w:highlight w:val="none"/>
          <w:lang w:val="en-US" w:eastAsia="zh-CN"/>
        </w:rPr>
      </w:pPr>
    </w:p>
    <w:p w14:paraId="60BA8A70">
      <w:pPr>
        <w:keepNext w:val="0"/>
        <w:keepLines w:val="0"/>
        <w:pageBreakBefore w:val="0"/>
        <w:widowControl w:val="0"/>
        <w:suppressLineNumbers w:val="0"/>
        <w:shd w:val="clear"/>
        <w:kinsoku/>
        <w:wordWrap/>
        <w:overflowPunct w:val="0"/>
        <w:topLinePunct w:val="0"/>
        <w:autoSpaceDE/>
        <w:autoSpaceDN/>
        <w:bidi w:val="0"/>
        <w:adjustRightInd/>
        <w:snapToGrid/>
        <w:spacing w:before="157" w:beforeLines="50" w:after="157" w:afterLines="50" w:afterAutospacing="0" w:line="600" w:lineRule="exact"/>
        <w:ind w:left="0" w:leftChars="0" w:firstLine="0" w:firstLineChars="0"/>
        <w:jc w:val="center"/>
        <w:textAlignment w:val="auto"/>
        <w:outlineLvl w:val="0"/>
        <w:rPr>
          <w:rFonts w:hint="eastAsia" w:ascii="方正小标宋简体" w:hAnsi="方正小标宋简体" w:eastAsia="方正小标宋简体" w:cs="方正小标宋简体"/>
          <w:color w:val="auto"/>
          <w:spacing w:val="0"/>
          <w:kern w:val="0"/>
          <w:sz w:val="32"/>
          <w:szCs w:val="32"/>
          <w:highlight w:val="none"/>
          <w:lang w:val="en-US" w:eastAsia="zh-CN" w:bidi="ar"/>
        </w:rPr>
      </w:pPr>
      <w:bookmarkStart w:id="295" w:name="_Toc20480"/>
      <w:bookmarkStart w:id="296" w:name="_Toc10988"/>
      <w:bookmarkStart w:id="297" w:name="_Toc32346"/>
      <w:bookmarkStart w:id="298" w:name="_Toc2627"/>
      <w:bookmarkStart w:id="299" w:name="_Toc23404"/>
      <w:bookmarkStart w:id="300" w:name="_Toc12539"/>
      <w:bookmarkStart w:id="301" w:name="_Toc4309"/>
      <w:bookmarkStart w:id="302" w:name="_Toc8278"/>
      <w:r>
        <w:rPr>
          <w:rFonts w:hint="eastAsia" w:ascii="方正小标宋简体" w:hAnsi="方正小标宋简体" w:eastAsia="方正小标宋简体" w:cs="方正小标宋简体"/>
          <w:color w:val="auto"/>
          <w:spacing w:val="0"/>
          <w:kern w:val="0"/>
          <w:sz w:val="32"/>
          <w:szCs w:val="32"/>
          <w:highlight w:val="none"/>
          <w:lang w:val="en-US" w:eastAsia="zh-CN" w:bidi="ar"/>
        </w:rPr>
        <w:t>第八章  深化重点领域改革，</w:t>
      </w:r>
      <w:r>
        <w:rPr>
          <w:rFonts w:hint="eastAsia" w:ascii="方正小标宋简体" w:hAnsi="方正小标宋简体" w:eastAsia="方正小标宋简体" w:cs="方正小标宋简体"/>
          <w:i w:val="0"/>
          <w:iCs w:val="0"/>
          <w:caps w:val="0"/>
          <w:color w:val="auto"/>
          <w:spacing w:val="0"/>
          <w:sz w:val="32"/>
          <w:szCs w:val="32"/>
          <w:highlight w:val="none"/>
          <w:shd w:val="clear" w:fill="auto"/>
          <w:lang w:bidi="ar"/>
        </w:rPr>
        <w:t>扩大高水平</w:t>
      </w:r>
      <w:r>
        <w:rPr>
          <w:rStyle w:val="20"/>
          <w:rFonts w:hint="eastAsia" w:ascii="方正小标宋简体" w:hAnsi="方正小标宋简体" w:eastAsia="方正小标宋简体" w:cs="方正小标宋简体"/>
          <w:i w:val="0"/>
          <w:iCs w:val="0"/>
          <w:caps w:val="0"/>
          <w:color w:val="auto"/>
          <w:spacing w:val="0"/>
          <w:sz w:val="32"/>
          <w:szCs w:val="32"/>
          <w:highlight w:val="none"/>
          <w:shd w:val="clear" w:fill="FFFFFF"/>
          <w:lang w:bidi="ar"/>
        </w:rPr>
        <w:t>对外</w:t>
      </w:r>
      <w:r>
        <w:rPr>
          <w:rFonts w:hint="eastAsia" w:ascii="方正小标宋简体" w:hAnsi="方正小标宋简体" w:eastAsia="方正小标宋简体" w:cs="方正小标宋简体"/>
          <w:i w:val="0"/>
          <w:iCs w:val="0"/>
          <w:caps w:val="0"/>
          <w:color w:val="auto"/>
          <w:spacing w:val="0"/>
          <w:sz w:val="32"/>
          <w:szCs w:val="32"/>
          <w:highlight w:val="none"/>
          <w:shd w:val="clear" w:fill="auto"/>
          <w:lang w:bidi="ar"/>
        </w:rPr>
        <w:t>开放</w:t>
      </w:r>
      <w:bookmarkEnd w:id="295"/>
      <w:bookmarkEnd w:id="296"/>
    </w:p>
    <w:p w14:paraId="59B6E204">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i w:val="0"/>
          <w:iCs w:val="0"/>
          <w:caps w:val="0"/>
          <w:color w:val="auto"/>
          <w:spacing w:val="0"/>
          <w:sz w:val="32"/>
          <w:szCs w:val="22"/>
          <w:highlight w:val="none"/>
          <w:shd w:val="clear" w:fill="auto"/>
        </w:rPr>
        <w:t>统筹推进重点领域改革攻坚与高水平对外开放，着力破除体制机制障碍，激发市场主体活力，深度融入区域发展大局，优化营商环境，培育外贸新动能，以制度型开放和系统性改革为全区高质量发展注入新动力、拓展新空间。</w:t>
      </w:r>
      <w:bookmarkEnd w:id="297"/>
      <w:bookmarkEnd w:id="298"/>
      <w:bookmarkEnd w:id="299"/>
      <w:bookmarkEnd w:id="300"/>
      <w:bookmarkEnd w:id="301"/>
      <w:bookmarkEnd w:id="302"/>
      <w:bookmarkStart w:id="303" w:name="_Toc2006"/>
      <w:bookmarkStart w:id="304" w:name="_Toc8814"/>
      <w:bookmarkStart w:id="305" w:name="_Toc14754"/>
    </w:p>
    <w:bookmarkEnd w:id="303"/>
    <w:bookmarkEnd w:id="304"/>
    <w:bookmarkEnd w:id="305"/>
    <w:p w14:paraId="2EE354A3">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default" w:ascii="黑体" w:hAnsi="黑体" w:eastAsia="黑体" w:cs="黑体"/>
          <w:color w:val="auto"/>
          <w:highlight w:val="none"/>
          <w:lang w:val="en-US" w:eastAsia="zh-CN"/>
        </w:rPr>
      </w:pPr>
      <w:bookmarkStart w:id="306" w:name="_Toc12770"/>
      <w:bookmarkStart w:id="307" w:name="_Toc1600"/>
      <w:bookmarkStart w:id="308" w:name="_Toc20200"/>
      <w:bookmarkStart w:id="309" w:name="_Toc14817"/>
      <w:bookmarkStart w:id="310" w:name="_Toc20284"/>
      <w:bookmarkStart w:id="311" w:name="_Toc21763"/>
      <w:bookmarkStart w:id="312" w:name="_Toc29095"/>
      <w:bookmarkStart w:id="313" w:name="_Toc21730"/>
      <w:r>
        <w:rPr>
          <w:rFonts w:hint="eastAsia" w:ascii="黑体" w:hAnsi="黑体" w:eastAsia="黑体" w:cs="黑体"/>
          <w:color w:val="auto"/>
          <w:highlight w:val="none"/>
          <w:lang w:val="en-US" w:eastAsia="zh-CN"/>
        </w:rPr>
        <w:t>一、</w:t>
      </w:r>
      <w:bookmarkEnd w:id="306"/>
      <w:bookmarkEnd w:id="307"/>
      <w:bookmarkEnd w:id="308"/>
      <w:bookmarkEnd w:id="309"/>
      <w:bookmarkEnd w:id="310"/>
      <w:bookmarkEnd w:id="311"/>
      <w:r>
        <w:rPr>
          <w:rFonts w:hint="eastAsia" w:ascii="黑体" w:hAnsi="黑体" w:eastAsia="黑体" w:cs="黑体"/>
          <w:color w:val="auto"/>
          <w:highlight w:val="none"/>
          <w:lang w:val="en-US" w:eastAsia="zh-CN"/>
        </w:rPr>
        <w:t>激发经营主体活力</w:t>
      </w:r>
      <w:bookmarkEnd w:id="312"/>
      <w:bookmarkEnd w:id="313"/>
    </w:p>
    <w:p w14:paraId="76D046DC">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rPr>
          <w:rFonts w:hint="eastAsia" w:ascii="仿宋_GB2312" w:hAnsi="仿宋_GB2312" w:eastAsia="仿宋_GB2312" w:cs="仿宋_GB2312"/>
          <w:b w:val="0"/>
          <w:bCs w:val="0"/>
          <w:i w:val="0"/>
          <w:iCs w:val="0"/>
          <w:caps w:val="0"/>
          <w:color w:val="auto"/>
          <w:spacing w:val="0"/>
          <w:kern w:val="0"/>
          <w:sz w:val="32"/>
          <w:szCs w:val="22"/>
          <w:highlight w:val="none"/>
          <w:shd w:val="clear"/>
          <w:lang w:eastAsia="zh-CN"/>
        </w:rPr>
      </w:pPr>
      <w:r>
        <w:rPr>
          <w:rFonts w:hint="eastAsia"/>
          <w:color w:val="auto"/>
          <w:highlight w:val="none"/>
          <w:lang w:val="en-US" w:eastAsia="zh-CN"/>
        </w:rPr>
        <w:t>坚持“两个毫不动摇”，以优化营商环境为基础、要素保障为支撑、创新转型为路径，着力破除体制机制障碍，持续提升企业治理和国资监管水平，构建亲清统一、活力充沛的民营经济发展生态。</w:t>
      </w:r>
    </w:p>
    <w:p w14:paraId="03CF3914">
      <w:pPr>
        <w:shd w:val="clear"/>
        <w:rPr>
          <w:rFonts w:hint="eastAsia"/>
          <w:color w:val="auto"/>
          <w:highlight w:val="none"/>
          <w:lang w:val="en-US" w:eastAsia="zh-CN"/>
        </w:rPr>
      </w:pPr>
      <w:r>
        <w:rPr>
          <w:rFonts w:hint="eastAsia" w:ascii="楷体_GB2312" w:hAnsi="楷体_GB2312" w:eastAsia="楷体_GB2312" w:cs="楷体_GB2312"/>
          <w:color w:val="auto"/>
          <w:highlight w:val="none"/>
          <w:lang w:val="en-US" w:eastAsia="zh-CN"/>
        </w:rPr>
        <w:t>（一）培植民营企业发展沃土</w:t>
      </w:r>
      <w:r>
        <w:rPr>
          <w:rFonts w:hint="eastAsia"/>
          <w:color w:val="auto"/>
          <w:highlight w:val="none"/>
          <w:lang w:val="en-US" w:eastAsia="zh-CN"/>
        </w:rPr>
        <w:t>。优化民营企业发展环境，全面落实民营经济促进法，坚决破除民营企业发展壁垒，营造公平竞争的市场环境，保障民营企业在各领域享有平等权利。健全完善促进民营经济发展政策体系，增强民营经济发展政策与宏观政策取向的一致性，加强财政、金融、产业、环保等政策统筹。畅通政企联系，构建亲清统一政商关系，建立党政干部与民营企业家常态化、规范化沟通机制，及时有效为企业纾困解难。保障民营企业合法权益，完善公共服务体系，健全覆盖中小企业全生命周期的公共服务网络，提供法律维权等专业化服务，维护民营企业合法权益。大力营造尊重企业家精神、支持企业家发展的社会氛围，推动企业与政府双向奔赴、企业与城市相互成就。</w:t>
      </w:r>
    </w:p>
    <w:p w14:paraId="7DE87AC4">
      <w:pPr>
        <w:shd w:val="clear"/>
        <w:rPr>
          <w:rFonts w:hint="eastAsia"/>
          <w:color w:val="auto"/>
          <w:highlight w:val="none"/>
          <w:lang w:val="en-US" w:eastAsia="zh-CN"/>
        </w:rPr>
      </w:pPr>
      <w:r>
        <w:rPr>
          <w:rFonts w:hint="eastAsia" w:ascii="楷体_GB2312" w:hAnsi="楷体_GB2312" w:eastAsia="楷体_GB2312" w:cs="楷体_GB2312"/>
          <w:color w:val="auto"/>
          <w:highlight w:val="none"/>
          <w:lang w:val="en-US" w:eastAsia="zh-CN"/>
        </w:rPr>
        <w:t>（二）支持民营企业做强做优</w:t>
      </w:r>
      <w:r>
        <w:rPr>
          <w:rFonts w:hint="eastAsia"/>
          <w:color w:val="auto"/>
          <w:highlight w:val="none"/>
          <w:lang w:val="en-US" w:eastAsia="zh-CN"/>
        </w:rPr>
        <w:t>。支持民营企业构建现代企业管理机制，鼓励实施股权结构多元化改革，推动企业产权模式由自然人持有为主向规范化法人治理结构转型。推动民营企业转型升级，加大研发创新支持，鼓励民营企业增加研发投入，突破关键核心技术，打造自主知识产权，推动数字化转型和智能化改造。深化数字赋能转型，引导和支持民营企业广泛应用新一代信息技术，提升生产管理效率和智能化水平。支持市场拓展，助力民营企业开拓国内外市场，搭建供需对接平台，提升产品知名度和市场占有率。促进企业融通发展，打造链式集聚发展生态，推动大中小企业围绕产业链、供应链、创新链深度融通协作。引导创新合作共享，加强创新型企业的合作引导，推动科技成果共享和技术联合攻关，提升整体创新效能。</w:t>
      </w:r>
      <w:bookmarkStart w:id="314" w:name="_Toc29395"/>
      <w:bookmarkStart w:id="315" w:name="_Toc5547"/>
      <w:bookmarkStart w:id="316" w:name="_Toc29854"/>
      <w:bookmarkStart w:id="317" w:name="_Toc21383"/>
      <w:bookmarkStart w:id="318" w:name="_Toc30536"/>
      <w:bookmarkStart w:id="319" w:name="_Toc11014"/>
    </w:p>
    <w:p w14:paraId="7AC4756E">
      <w:pPr>
        <w:shd w:val="clear"/>
        <w:rPr>
          <w:rFonts w:hint="eastAsia" w:ascii="仿宋_GB2312" w:hAnsi="仿宋_GB2312" w:eastAsia="仿宋_GB2312" w:cs="仿宋_GB2312"/>
          <w:i w:val="0"/>
          <w:iCs w:val="0"/>
          <w:caps w:val="0"/>
          <w:color w:val="auto"/>
          <w:spacing w:val="0"/>
          <w:sz w:val="32"/>
          <w:szCs w:val="22"/>
          <w:highlight w:val="none"/>
          <w:lang w:bidi="ar-SA"/>
        </w:rPr>
      </w:pPr>
      <w:r>
        <w:rPr>
          <w:rFonts w:hint="eastAsia" w:ascii="楷体_GB2312" w:hAnsi="楷体_GB2312" w:eastAsia="楷体_GB2312" w:cs="楷体_GB2312"/>
          <w:b w:val="0"/>
          <w:bCs w:val="0"/>
          <w:i w:val="0"/>
          <w:iCs w:val="0"/>
          <w:caps w:val="0"/>
          <w:color w:val="auto"/>
          <w:spacing w:val="0"/>
          <w:sz w:val="32"/>
          <w:szCs w:val="22"/>
          <w:highlight w:val="none"/>
          <w:shd w:val="clear"/>
          <w:lang w:eastAsia="zh-CN" w:bidi="ar-SA"/>
        </w:rPr>
        <w:t>（</w:t>
      </w:r>
      <w:r>
        <w:rPr>
          <w:rFonts w:hint="eastAsia" w:ascii="楷体_GB2312" w:hAnsi="楷体_GB2312" w:eastAsia="楷体_GB2312" w:cs="楷体_GB2312"/>
          <w:b w:val="0"/>
          <w:bCs w:val="0"/>
          <w:i w:val="0"/>
          <w:iCs w:val="0"/>
          <w:caps w:val="0"/>
          <w:color w:val="auto"/>
          <w:spacing w:val="0"/>
          <w:sz w:val="32"/>
          <w:szCs w:val="22"/>
          <w:highlight w:val="none"/>
          <w:shd w:val="clear"/>
          <w:lang w:val="en-US" w:eastAsia="zh-CN" w:bidi="ar-SA"/>
        </w:rPr>
        <w:t>三</w:t>
      </w:r>
      <w:r>
        <w:rPr>
          <w:rFonts w:hint="eastAsia" w:ascii="楷体_GB2312" w:hAnsi="楷体_GB2312" w:eastAsia="楷体_GB2312" w:cs="楷体_GB2312"/>
          <w:b w:val="0"/>
          <w:bCs w:val="0"/>
          <w:i w:val="0"/>
          <w:iCs w:val="0"/>
          <w:caps w:val="0"/>
          <w:color w:val="auto"/>
          <w:spacing w:val="0"/>
          <w:sz w:val="32"/>
          <w:szCs w:val="22"/>
          <w:highlight w:val="none"/>
          <w:shd w:val="clear"/>
          <w:lang w:eastAsia="zh-CN" w:bidi="ar-SA"/>
        </w:rPr>
        <w:t>）</w:t>
      </w:r>
      <w:r>
        <w:rPr>
          <w:rStyle w:val="20"/>
          <w:rFonts w:hint="eastAsia" w:ascii="楷体_GB2312" w:hAnsi="楷体_GB2312" w:eastAsia="楷体_GB2312" w:cs="楷体_GB2312"/>
          <w:b w:val="0"/>
          <w:bCs w:val="0"/>
          <w:i w:val="0"/>
          <w:iCs w:val="0"/>
          <w:caps w:val="0"/>
          <w:color w:val="auto"/>
          <w:spacing w:val="0"/>
          <w:sz w:val="32"/>
          <w:szCs w:val="22"/>
          <w:highlight w:val="none"/>
          <w:shd w:val="clear" w:fill="FFFFFF"/>
          <w:lang w:bidi="ar-SA"/>
        </w:rPr>
        <w:t>深化国资国企改革</w:t>
      </w:r>
      <w:r>
        <w:rPr>
          <w:rFonts w:hint="eastAsia" w:ascii="楷体_GB2312" w:hAnsi="楷体_GB2312" w:eastAsia="楷体_GB2312" w:cs="楷体_GB2312"/>
          <w:b w:val="0"/>
          <w:bCs w:val="0"/>
          <w:i w:val="0"/>
          <w:iCs w:val="0"/>
          <w:caps w:val="0"/>
          <w:color w:val="auto"/>
          <w:spacing w:val="0"/>
          <w:sz w:val="32"/>
          <w:szCs w:val="22"/>
          <w:highlight w:val="none"/>
          <w:shd w:val="clear"/>
          <w:lang w:eastAsia="zh-CN" w:bidi="ar-SA"/>
        </w:rPr>
        <w:t>。</w:t>
      </w:r>
      <w:r>
        <w:rPr>
          <w:rFonts w:hint="eastAsia" w:ascii="仿宋_GB2312" w:hAnsi="仿宋_GB2312" w:eastAsia="仿宋_GB2312" w:cs="仿宋_GB2312"/>
          <w:color w:val="auto"/>
          <w:kern w:val="0"/>
          <w:sz w:val="32"/>
          <w:szCs w:val="22"/>
          <w:highlight w:val="none"/>
          <w:lang w:val="en-US" w:eastAsia="zh-CN" w:bidi="ar-SA"/>
        </w:rPr>
        <w:t>坚持和加强党对国有企业的全面领导，健全现代企业制度，完善公司治理结构。深化经理层成员任期制和契约化管理，全面推行市场化用工与薪酬分配机制，强化“能者上、庸者下”的用人导向。优化国资监管方式，推动从管企业向管资本转变，健全分类考核与风险防控体系，加强投资决策规范与债务风险动态监测，提升国有资本配置效率与运营安全水平，</w:t>
      </w:r>
      <w:r>
        <w:rPr>
          <w:rFonts w:hint="eastAsia" w:cs="仿宋_GB2312"/>
          <w:color w:val="auto"/>
          <w:kern w:val="0"/>
          <w:sz w:val="32"/>
          <w:szCs w:val="22"/>
          <w:highlight w:val="none"/>
          <w:lang w:val="en-US" w:eastAsia="zh-CN" w:bidi="ar-SA"/>
        </w:rPr>
        <w:t>更好地服务</w:t>
      </w:r>
      <w:r>
        <w:rPr>
          <w:rFonts w:hint="eastAsia" w:ascii="仿宋_GB2312" w:hAnsi="仿宋_GB2312" w:eastAsia="仿宋_GB2312" w:cs="仿宋_GB2312"/>
          <w:color w:val="auto"/>
          <w:kern w:val="0"/>
          <w:sz w:val="32"/>
          <w:szCs w:val="22"/>
          <w:highlight w:val="none"/>
          <w:lang w:val="en-US" w:eastAsia="zh-CN" w:bidi="ar-SA"/>
        </w:rPr>
        <w:t>全区经济社会发展大局。</w:t>
      </w:r>
    </w:p>
    <w:p w14:paraId="2874AFED">
      <w:pPr>
        <w:shd w:val="clear"/>
        <w:rPr>
          <w:rFonts w:hint="eastAsia"/>
          <w:color w:val="auto"/>
          <w:highlight w:val="none"/>
          <w:lang w:val="en-US" w:eastAsia="zh-CN"/>
        </w:rPr>
      </w:pPr>
      <w:r>
        <w:rPr>
          <w:rFonts w:hint="eastAsia" w:ascii="楷体_GB2312" w:hAnsi="楷体_GB2312" w:eastAsia="楷体_GB2312" w:cs="楷体_GB2312"/>
          <w:color w:val="auto"/>
          <w:highlight w:val="none"/>
          <w:lang w:val="en-US" w:eastAsia="zh-CN"/>
        </w:rPr>
        <w:t>（四）持续强化企业要素保障</w:t>
      </w:r>
      <w:r>
        <w:rPr>
          <w:rFonts w:hint="eastAsia"/>
          <w:color w:val="auto"/>
          <w:highlight w:val="none"/>
          <w:lang w:val="en-US" w:eastAsia="zh-CN"/>
        </w:rPr>
        <w:t>。强化资金要素保障，实施金融赋能行动，完善多层次金融服务体系，拓宽企业融资渠道，创新金融产品和服务模式，降低融资成本，切实缓解企业融资难、融资贵问题。强化土地要素保障，合理保障企业项目用地需求，为企业发展提供必要的土地支撑，保障项目顺利推进。强化能耗要素保障，科学合理分配能耗指标，助力企业稳定发展。</w:t>
      </w:r>
    </w:p>
    <w:p w14:paraId="00FC36DF">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320" w:name="_Toc1414"/>
      <w:bookmarkStart w:id="321" w:name="_Toc4812"/>
      <w:r>
        <w:rPr>
          <w:rFonts w:hint="eastAsia" w:ascii="黑体" w:hAnsi="黑体" w:eastAsia="黑体" w:cs="黑体"/>
          <w:color w:val="auto"/>
          <w:highlight w:val="none"/>
          <w:lang w:val="en-US" w:eastAsia="zh-CN"/>
        </w:rPr>
        <w:t>二、统筹推进财税金融改革</w:t>
      </w:r>
      <w:bookmarkEnd w:id="320"/>
      <w:bookmarkEnd w:id="321"/>
    </w:p>
    <w:p w14:paraId="4663C590">
      <w:pPr>
        <w:pStyle w:val="16"/>
        <w:keepNext w:val="0"/>
        <w:keepLines w:val="0"/>
        <w:widowControl/>
        <w:suppressLineNumbers w:val="0"/>
        <w:shd w:val="clear"/>
        <w:spacing w:before="0" w:beforeLines="0" w:beforeAutospacing="0" w:after="0" w:afterLines="0" w:afterAutospacing="0"/>
        <w:ind w:left="0" w:right="0" w:firstLine="0"/>
        <w:rPr>
          <w:rFonts w:hint="eastAsia" w:ascii="仿宋_GB2312" w:hAnsi="仿宋_GB2312" w:eastAsia="仿宋_GB2312" w:cs="仿宋_GB2312"/>
          <w:i w:val="0"/>
          <w:iCs w:val="0"/>
          <w:caps w:val="0"/>
          <w:color w:val="auto"/>
          <w:spacing w:val="0"/>
          <w:kern w:val="2"/>
          <w:sz w:val="32"/>
          <w:szCs w:val="32"/>
          <w:highlight w:val="none"/>
          <w:lang w:bidi="ar-SA"/>
        </w:rPr>
      </w:pPr>
      <w:r>
        <w:rPr>
          <w:rFonts w:hint="eastAsia" w:ascii="仿宋_GB2312" w:hAnsi="仿宋_GB2312" w:eastAsia="仿宋_GB2312" w:cs="仿宋_GB2312"/>
          <w:i w:val="0"/>
          <w:iCs w:val="0"/>
          <w:caps w:val="0"/>
          <w:color w:val="auto"/>
          <w:spacing w:val="0"/>
          <w:kern w:val="2"/>
          <w:sz w:val="32"/>
          <w:szCs w:val="32"/>
          <w:highlight w:val="none"/>
          <w:shd w:val="clear" w:fill="auto"/>
          <w:lang w:bidi="ar-SA"/>
        </w:rPr>
        <w:t>紧密围绕高质量发展首要任务，深化财税体制与金融供给侧结构性改革，强化财政资源统筹与金融资源配置，增强财政可持续性，提升金融服务实体经济质效。</w:t>
      </w:r>
    </w:p>
    <w:p w14:paraId="15CC2EC9">
      <w:pPr>
        <w:pStyle w:val="16"/>
        <w:keepNext w:val="0"/>
        <w:keepLines w:val="0"/>
        <w:widowControl/>
        <w:suppressLineNumbers w:val="0"/>
        <w:shd w:val="clear"/>
        <w:spacing w:before="0" w:beforeLines="0" w:beforeAutospacing="0" w:after="0" w:afterLines="0" w:afterAutospacing="0"/>
        <w:ind w:left="0" w:right="0" w:firstLine="0"/>
        <w:rPr>
          <w:rFonts w:hint="eastAsia" w:ascii="仿宋_GB2312" w:hAnsi="仿宋_GB2312" w:eastAsia="仿宋_GB2312" w:cs="仿宋_GB2312"/>
          <w:i w:val="0"/>
          <w:iCs w:val="0"/>
          <w:caps w:val="0"/>
          <w:color w:val="auto"/>
          <w:spacing w:val="0"/>
          <w:kern w:val="2"/>
          <w:sz w:val="32"/>
          <w:szCs w:val="32"/>
          <w:highlight w:val="none"/>
          <w:lang w:bidi="ar-SA"/>
        </w:rPr>
      </w:pPr>
      <w:r>
        <w:rPr>
          <w:rFonts w:hint="eastAsia" w:ascii="楷体_GB2312" w:hAnsi="楷体_GB2312" w:eastAsia="楷体_GB2312" w:cs="楷体_GB2312"/>
          <w:b w:val="0"/>
          <w:bCs w:val="0"/>
          <w:i w:val="0"/>
          <w:iCs w:val="0"/>
          <w:caps w:val="0"/>
          <w:color w:val="auto"/>
          <w:spacing w:val="0"/>
          <w:kern w:val="0"/>
          <w:sz w:val="32"/>
          <w:szCs w:val="22"/>
          <w:highlight w:val="none"/>
          <w:shd w:val="clear"/>
          <w:lang w:eastAsia="zh-CN" w:bidi="ar-SA"/>
        </w:rPr>
        <w:t>（</w:t>
      </w:r>
      <w:r>
        <w:rPr>
          <w:rFonts w:hint="eastAsia" w:ascii="楷体_GB2312" w:hAnsi="楷体_GB2312" w:eastAsia="楷体_GB2312" w:cs="楷体_GB2312"/>
          <w:b w:val="0"/>
          <w:bCs w:val="0"/>
          <w:i w:val="0"/>
          <w:iCs w:val="0"/>
          <w:caps w:val="0"/>
          <w:color w:val="auto"/>
          <w:spacing w:val="0"/>
          <w:kern w:val="0"/>
          <w:sz w:val="32"/>
          <w:szCs w:val="22"/>
          <w:highlight w:val="none"/>
          <w:shd w:val="clear"/>
          <w:lang w:val="en-US" w:eastAsia="zh-CN" w:bidi="ar-SA"/>
        </w:rPr>
        <w:t>一</w:t>
      </w:r>
      <w:r>
        <w:rPr>
          <w:rFonts w:hint="eastAsia" w:ascii="楷体_GB2312" w:hAnsi="楷体_GB2312" w:eastAsia="楷体_GB2312" w:cs="楷体_GB2312"/>
          <w:b w:val="0"/>
          <w:bCs w:val="0"/>
          <w:i w:val="0"/>
          <w:iCs w:val="0"/>
          <w:caps w:val="0"/>
          <w:color w:val="auto"/>
          <w:spacing w:val="0"/>
          <w:kern w:val="0"/>
          <w:sz w:val="32"/>
          <w:szCs w:val="22"/>
          <w:highlight w:val="none"/>
          <w:shd w:val="clear"/>
          <w:lang w:eastAsia="zh-CN" w:bidi="ar-SA"/>
        </w:rPr>
        <w:t>）</w:t>
      </w:r>
      <w:r>
        <w:rPr>
          <w:rFonts w:hint="eastAsia" w:ascii="楷体_GB2312" w:hAnsi="楷体_GB2312" w:eastAsia="楷体_GB2312" w:cs="楷体_GB2312"/>
          <w:i w:val="0"/>
          <w:iCs w:val="0"/>
          <w:caps w:val="0"/>
          <w:color w:val="auto"/>
          <w:spacing w:val="0"/>
          <w:sz w:val="32"/>
          <w:szCs w:val="22"/>
          <w:highlight w:val="none"/>
          <w:shd w:val="clear" w:fill="auto"/>
          <w:lang w:bidi="ar-SA"/>
        </w:rPr>
        <w:t>积极推进新一轮财税体制改革</w:t>
      </w:r>
      <w:r>
        <w:rPr>
          <w:rFonts w:hint="eastAsia" w:ascii="楷体_GB2312" w:hAnsi="楷体_GB2312" w:eastAsia="楷体_GB2312" w:cs="楷体_GB2312"/>
          <w:b w:val="0"/>
          <w:bCs w:val="0"/>
          <w:i w:val="0"/>
          <w:iCs w:val="0"/>
          <w:caps w:val="0"/>
          <w:color w:val="auto"/>
          <w:spacing w:val="0"/>
          <w:kern w:val="0"/>
          <w:sz w:val="32"/>
          <w:szCs w:val="22"/>
          <w:highlight w:val="none"/>
          <w:shd w:val="clear"/>
          <w:lang w:eastAsia="zh-CN" w:bidi="ar-SA"/>
        </w:rPr>
        <w:t>。</w:t>
      </w:r>
      <w:r>
        <w:rPr>
          <w:rFonts w:hint="eastAsia" w:ascii="仿宋_GB2312" w:hAnsi="仿宋_GB2312" w:eastAsia="仿宋_GB2312" w:cs="仿宋_GB2312"/>
          <w:i w:val="0"/>
          <w:iCs w:val="0"/>
          <w:caps w:val="0"/>
          <w:color w:val="auto"/>
          <w:spacing w:val="0"/>
          <w:kern w:val="2"/>
          <w:sz w:val="32"/>
          <w:szCs w:val="32"/>
          <w:highlight w:val="none"/>
          <w:shd w:val="clear" w:fill="auto"/>
          <w:lang w:bidi="ar-SA"/>
        </w:rPr>
        <w:t>全面落实国家经济调控政策，加强财政、金融、产业等政策协同，更好发挥财政在稳增长、促转型、惠民生、防风险中的关键作用</w:t>
      </w:r>
      <w:r>
        <w:rPr>
          <w:rFonts w:hint="eastAsia" w:cs="仿宋_GB2312"/>
          <w:i w:val="0"/>
          <w:iCs w:val="0"/>
          <w:caps w:val="0"/>
          <w:color w:val="auto"/>
          <w:spacing w:val="0"/>
          <w:kern w:val="2"/>
          <w:sz w:val="32"/>
          <w:szCs w:val="32"/>
          <w:highlight w:val="none"/>
          <w:shd w:val="clear"/>
          <w:lang w:eastAsia="zh-CN" w:bidi="ar-SA"/>
        </w:rPr>
        <w:t>。</w:t>
      </w:r>
      <w:r>
        <w:rPr>
          <w:rFonts w:hint="eastAsia" w:ascii="仿宋_GB2312" w:hAnsi="仿宋_GB2312" w:eastAsia="仿宋_GB2312" w:cs="仿宋_GB2312"/>
          <w:i w:val="0"/>
          <w:iCs w:val="0"/>
          <w:caps w:val="0"/>
          <w:color w:val="auto"/>
          <w:spacing w:val="0"/>
          <w:kern w:val="2"/>
          <w:sz w:val="32"/>
          <w:szCs w:val="32"/>
          <w:highlight w:val="none"/>
          <w:shd w:val="clear" w:fill="auto"/>
          <w:lang w:bidi="ar-SA"/>
        </w:rPr>
        <w:t>全面深化零基预算改革，强化预算统筹和刚性约束，推动预算与绩效管理深度融合，提升财政资源配置效率和资金使用效益。建立健全行政事业性国有资产盘活机制，全面梳理并动态管理各类闲置、低效资产，积极探索通过资产重组、市场化运营、证券化等方式提升资产价值。完善政府投融资决策与后评价机制，加强项目全生命周期风险管理。严格落实政府债务管理制度，坚决遏制隐性债务增量，稳妥化解存量，构建规范、安全、高效的政府债务管理体系。依法依规落实各项税收改革政策。</w:t>
      </w:r>
    </w:p>
    <w:p w14:paraId="1A968BDF">
      <w:pPr>
        <w:pStyle w:val="16"/>
        <w:keepNext w:val="0"/>
        <w:keepLines w:val="0"/>
        <w:widowControl/>
        <w:suppressLineNumbers w:val="0"/>
        <w:shd w:val="clear"/>
        <w:spacing w:before="0" w:beforeLines="0" w:beforeAutospacing="0" w:after="0" w:afterLines="0" w:afterAutospacing="0"/>
        <w:ind w:left="0" w:right="0" w:firstLine="0"/>
        <w:rPr>
          <w:rFonts w:hint="eastAsia" w:ascii="仿宋_GB2312" w:hAnsi="仿宋_GB2312" w:eastAsia="仿宋_GB2312" w:cs="仿宋_GB2312"/>
          <w:i w:val="0"/>
          <w:iCs w:val="0"/>
          <w:caps w:val="0"/>
          <w:color w:val="auto"/>
          <w:spacing w:val="0"/>
          <w:kern w:val="2"/>
          <w:sz w:val="32"/>
          <w:szCs w:val="32"/>
          <w:highlight w:val="none"/>
          <w:lang w:bidi="ar-SA"/>
        </w:rPr>
      </w:pPr>
      <w:r>
        <w:rPr>
          <w:rFonts w:hint="eastAsia" w:ascii="楷体_GB2312" w:hAnsi="楷体_GB2312" w:eastAsia="楷体_GB2312" w:cs="楷体_GB2312"/>
          <w:b w:val="0"/>
          <w:bCs w:val="0"/>
          <w:i w:val="0"/>
          <w:iCs w:val="0"/>
          <w:caps w:val="0"/>
          <w:color w:val="auto"/>
          <w:spacing w:val="0"/>
          <w:kern w:val="0"/>
          <w:sz w:val="32"/>
          <w:szCs w:val="22"/>
          <w:highlight w:val="none"/>
          <w:shd w:val="clear"/>
          <w:lang w:eastAsia="zh-CN" w:bidi="ar-SA"/>
        </w:rPr>
        <w:t>（</w:t>
      </w:r>
      <w:r>
        <w:rPr>
          <w:rFonts w:hint="eastAsia" w:ascii="楷体_GB2312" w:hAnsi="楷体_GB2312" w:eastAsia="楷体_GB2312" w:cs="楷体_GB2312"/>
          <w:b w:val="0"/>
          <w:bCs w:val="0"/>
          <w:i w:val="0"/>
          <w:iCs w:val="0"/>
          <w:caps w:val="0"/>
          <w:color w:val="auto"/>
          <w:spacing w:val="0"/>
          <w:kern w:val="0"/>
          <w:sz w:val="32"/>
          <w:szCs w:val="22"/>
          <w:highlight w:val="none"/>
          <w:shd w:val="clear"/>
          <w:lang w:val="en-US" w:eastAsia="zh-CN" w:bidi="ar-SA"/>
        </w:rPr>
        <w:t>二</w:t>
      </w:r>
      <w:r>
        <w:rPr>
          <w:rFonts w:hint="eastAsia" w:ascii="楷体_GB2312" w:hAnsi="楷体_GB2312" w:eastAsia="楷体_GB2312" w:cs="楷体_GB2312"/>
          <w:b w:val="0"/>
          <w:bCs w:val="0"/>
          <w:i w:val="0"/>
          <w:iCs w:val="0"/>
          <w:caps w:val="0"/>
          <w:color w:val="auto"/>
          <w:spacing w:val="0"/>
          <w:kern w:val="0"/>
          <w:sz w:val="32"/>
          <w:szCs w:val="22"/>
          <w:highlight w:val="none"/>
          <w:shd w:val="clear"/>
          <w:lang w:eastAsia="zh-CN" w:bidi="ar-SA"/>
        </w:rPr>
        <w:t>）</w:t>
      </w:r>
      <w:r>
        <w:rPr>
          <w:rStyle w:val="20"/>
          <w:rFonts w:hint="eastAsia" w:ascii="楷体_GB2312" w:hAnsi="楷体_GB2312" w:eastAsia="楷体_GB2312" w:cs="楷体_GB2312"/>
          <w:b w:val="0"/>
          <w:bCs w:val="0"/>
          <w:i w:val="0"/>
          <w:iCs w:val="0"/>
          <w:caps w:val="0"/>
          <w:color w:val="auto"/>
          <w:spacing w:val="0"/>
          <w:kern w:val="0"/>
          <w:sz w:val="32"/>
          <w:szCs w:val="22"/>
          <w:highlight w:val="none"/>
          <w:shd w:val="clear" w:fill="FFFFFF"/>
          <w:lang w:bidi="ar-SA"/>
        </w:rPr>
        <w:t>提升政府投资基金运作效能</w:t>
      </w:r>
      <w:r>
        <w:rPr>
          <w:rFonts w:hint="eastAsia" w:ascii="楷体_GB2312" w:hAnsi="楷体_GB2312" w:eastAsia="楷体_GB2312" w:cs="楷体_GB2312"/>
          <w:b w:val="0"/>
          <w:bCs w:val="0"/>
          <w:i w:val="0"/>
          <w:iCs w:val="0"/>
          <w:caps w:val="0"/>
          <w:color w:val="auto"/>
          <w:spacing w:val="0"/>
          <w:kern w:val="0"/>
          <w:sz w:val="32"/>
          <w:szCs w:val="22"/>
          <w:highlight w:val="none"/>
          <w:shd w:val="clear"/>
          <w:lang w:eastAsia="zh-CN" w:bidi="ar-SA"/>
        </w:rPr>
        <w:t>。</w:t>
      </w:r>
      <w:r>
        <w:rPr>
          <w:rFonts w:hint="eastAsia" w:ascii="仿宋_GB2312" w:hAnsi="仿宋_GB2312" w:eastAsia="仿宋_GB2312" w:cs="仿宋_GB2312"/>
          <w:i w:val="0"/>
          <w:iCs w:val="0"/>
          <w:caps w:val="0"/>
          <w:color w:val="auto"/>
          <w:spacing w:val="0"/>
          <w:kern w:val="2"/>
          <w:sz w:val="32"/>
          <w:szCs w:val="32"/>
          <w:highlight w:val="none"/>
          <w:shd w:val="clear" w:fill="auto"/>
          <w:lang w:bidi="ar-SA"/>
        </w:rPr>
        <w:t>充分发挥政府投资基金的引导撬动作用，聚焦全区产业发展战略，打造“耐心资本”，促进创新链、产业链、资金链深度融合。优化政府投资基金布局，围绕全区主导产业</w:t>
      </w:r>
      <w:r>
        <w:rPr>
          <w:rFonts w:hint="eastAsia" w:cs="仿宋_GB2312"/>
          <w:i w:val="0"/>
          <w:iCs w:val="0"/>
          <w:caps w:val="0"/>
          <w:color w:val="auto"/>
          <w:spacing w:val="0"/>
          <w:kern w:val="2"/>
          <w:sz w:val="32"/>
          <w:szCs w:val="32"/>
          <w:highlight w:val="none"/>
          <w:shd w:val="clear" w:fill="auto"/>
          <w:lang w:eastAsia="zh-CN" w:bidi="ar-SA"/>
        </w:rPr>
        <w:t>、</w:t>
      </w:r>
      <w:r>
        <w:rPr>
          <w:rFonts w:hint="eastAsia" w:cs="仿宋_GB2312"/>
          <w:i w:val="0"/>
          <w:iCs w:val="0"/>
          <w:caps w:val="0"/>
          <w:color w:val="auto"/>
          <w:spacing w:val="0"/>
          <w:kern w:val="2"/>
          <w:sz w:val="32"/>
          <w:szCs w:val="32"/>
          <w:highlight w:val="none"/>
          <w:shd w:val="clear" w:fill="auto"/>
          <w:lang w:val="en-US" w:eastAsia="zh-CN" w:bidi="ar-SA"/>
        </w:rPr>
        <w:t>特色产业</w:t>
      </w:r>
      <w:r>
        <w:rPr>
          <w:rFonts w:hint="eastAsia" w:ascii="仿宋_GB2312" w:hAnsi="仿宋_GB2312" w:eastAsia="仿宋_GB2312" w:cs="仿宋_GB2312"/>
          <w:i w:val="0"/>
          <w:iCs w:val="0"/>
          <w:caps w:val="0"/>
          <w:color w:val="auto"/>
          <w:spacing w:val="0"/>
          <w:kern w:val="2"/>
          <w:sz w:val="32"/>
          <w:szCs w:val="32"/>
          <w:highlight w:val="none"/>
          <w:shd w:val="clear" w:fill="auto"/>
          <w:lang w:bidi="ar-SA"/>
        </w:rPr>
        <w:t>和战略性新兴产业，精准支持关键环节突破和产业集群培育。规范基金分级分类管理，整合优化存量基金，严控同质化设立，提升基金整体合力。坚持市场化、专业化运作原则，择优遴选合作基金管理机构，积极引入保险资金、国企资本等长期资金，不断扩大基金总规模和管理效能。健全基金投资退出机制，简化合规退出程序，支持通过企业上市、股权转让、并购重组等多种渠道实现资本良性循环。</w:t>
      </w:r>
    </w:p>
    <w:p w14:paraId="465F35C1">
      <w:pPr>
        <w:pStyle w:val="16"/>
        <w:keepNext w:val="0"/>
        <w:keepLines w:val="0"/>
        <w:widowControl/>
        <w:suppressLineNumbers w:val="0"/>
        <w:shd w:val="clear"/>
        <w:spacing w:before="0" w:beforeLines="0" w:beforeAutospacing="0" w:after="0" w:afterLines="0" w:afterAutospacing="0"/>
        <w:ind w:left="0" w:right="0" w:firstLine="0"/>
        <w:rPr>
          <w:rFonts w:hint="eastAsia" w:ascii="仿宋_GB2312" w:hAnsi="仿宋_GB2312" w:eastAsia="仿宋_GB2312" w:cs="仿宋_GB2312"/>
          <w:i w:val="0"/>
          <w:iCs w:val="0"/>
          <w:caps w:val="0"/>
          <w:color w:val="auto"/>
          <w:spacing w:val="0"/>
          <w:kern w:val="2"/>
          <w:sz w:val="32"/>
          <w:szCs w:val="32"/>
          <w:highlight w:val="none"/>
          <w:lang w:bidi="ar-SA"/>
        </w:rPr>
      </w:pPr>
      <w:r>
        <w:rPr>
          <w:rFonts w:hint="eastAsia" w:ascii="楷体_GB2312" w:hAnsi="楷体_GB2312" w:eastAsia="楷体_GB2312" w:cs="楷体_GB2312"/>
          <w:b w:val="0"/>
          <w:bCs w:val="0"/>
          <w:i w:val="0"/>
          <w:iCs w:val="0"/>
          <w:caps w:val="0"/>
          <w:color w:val="auto"/>
          <w:spacing w:val="0"/>
          <w:kern w:val="0"/>
          <w:sz w:val="32"/>
          <w:szCs w:val="22"/>
          <w:highlight w:val="none"/>
          <w:shd w:val="clear"/>
          <w:lang w:eastAsia="zh-CN" w:bidi="ar-SA"/>
        </w:rPr>
        <w:t>（</w:t>
      </w:r>
      <w:r>
        <w:rPr>
          <w:rFonts w:hint="eastAsia" w:ascii="楷体_GB2312" w:hAnsi="楷体_GB2312" w:eastAsia="楷体_GB2312" w:cs="楷体_GB2312"/>
          <w:b w:val="0"/>
          <w:bCs w:val="0"/>
          <w:i w:val="0"/>
          <w:iCs w:val="0"/>
          <w:caps w:val="0"/>
          <w:color w:val="auto"/>
          <w:spacing w:val="0"/>
          <w:kern w:val="0"/>
          <w:sz w:val="32"/>
          <w:szCs w:val="22"/>
          <w:highlight w:val="none"/>
          <w:shd w:val="clear"/>
          <w:lang w:val="en-US" w:eastAsia="zh-CN" w:bidi="ar-SA"/>
        </w:rPr>
        <w:t>三</w:t>
      </w:r>
      <w:r>
        <w:rPr>
          <w:rFonts w:hint="eastAsia" w:ascii="楷体_GB2312" w:hAnsi="楷体_GB2312" w:eastAsia="楷体_GB2312" w:cs="楷体_GB2312"/>
          <w:b w:val="0"/>
          <w:bCs w:val="0"/>
          <w:i w:val="0"/>
          <w:iCs w:val="0"/>
          <w:caps w:val="0"/>
          <w:color w:val="auto"/>
          <w:spacing w:val="0"/>
          <w:kern w:val="0"/>
          <w:sz w:val="32"/>
          <w:szCs w:val="22"/>
          <w:highlight w:val="none"/>
          <w:shd w:val="clear"/>
          <w:lang w:eastAsia="zh-CN" w:bidi="ar-SA"/>
        </w:rPr>
        <w:t>）</w:t>
      </w:r>
      <w:r>
        <w:rPr>
          <w:rStyle w:val="20"/>
          <w:rFonts w:hint="eastAsia" w:ascii="楷体_GB2312" w:hAnsi="楷体_GB2312" w:eastAsia="楷体_GB2312" w:cs="楷体_GB2312"/>
          <w:b w:val="0"/>
          <w:bCs w:val="0"/>
          <w:i w:val="0"/>
          <w:iCs w:val="0"/>
          <w:caps w:val="0"/>
          <w:color w:val="auto"/>
          <w:spacing w:val="0"/>
          <w:kern w:val="0"/>
          <w:sz w:val="32"/>
          <w:szCs w:val="22"/>
          <w:highlight w:val="none"/>
          <w:shd w:val="clear" w:fill="FFFFFF"/>
          <w:lang w:bidi="ar-SA"/>
        </w:rPr>
        <w:t>优化金融服务体系与资源配置</w:t>
      </w:r>
      <w:r>
        <w:rPr>
          <w:rFonts w:hint="eastAsia" w:ascii="楷体_GB2312" w:hAnsi="楷体_GB2312" w:eastAsia="楷体_GB2312" w:cs="楷体_GB2312"/>
          <w:b w:val="0"/>
          <w:bCs w:val="0"/>
          <w:i w:val="0"/>
          <w:iCs w:val="0"/>
          <w:caps w:val="0"/>
          <w:color w:val="auto"/>
          <w:spacing w:val="0"/>
          <w:kern w:val="0"/>
          <w:sz w:val="32"/>
          <w:szCs w:val="22"/>
          <w:highlight w:val="none"/>
          <w:shd w:val="clear"/>
          <w:lang w:eastAsia="zh-CN" w:bidi="ar-SA"/>
        </w:rPr>
        <w:t>。</w:t>
      </w:r>
      <w:r>
        <w:rPr>
          <w:rFonts w:hint="eastAsia" w:ascii="仿宋_GB2312" w:hAnsi="仿宋_GB2312" w:eastAsia="仿宋_GB2312" w:cs="仿宋_GB2312"/>
          <w:i w:val="0"/>
          <w:iCs w:val="0"/>
          <w:caps w:val="0"/>
          <w:color w:val="auto"/>
          <w:spacing w:val="0"/>
          <w:kern w:val="2"/>
          <w:sz w:val="32"/>
          <w:szCs w:val="32"/>
          <w:highlight w:val="none"/>
          <w:shd w:val="clear" w:fill="auto"/>
          <w:lang w:bidi="ar-SA"/>
        </w:rPr>
        <w:t>深入做好</w:t>
      </w:r>
      <w:r>
        <w:rPr>
          <w:rFonts w:hint="eastAsia" w:cs="仿宋_GB2312"/>
          <w:i w:val="0"/>
          <w:iCs w:val="0"/>
          <w:caps w:val="0"/>
          <w:color w:val="auto"/>
          <w:spacing w:val="0"/>
          <w:kern w:val="2"/>
          <w:sz w:val="32"/>
          <w:szCs w:val="32"/>
          <w:highlight w:val="none"/>
          <w:shd w:val="clear"/>
          <w:lang w:val="en-US" w:eastAsia="zh-CN" w:bidi="ar-SA"/>
        </w:rPr>
        <w:t>金融“</w:t>
      </w:r>
      <w:r>
        <w:rPr>
          <w:rFonts w:hint="eastAsia" w:ascii="仿宋_GB2312" w:hAnsi="仿宋_GB2312" w:eastAsia="仿宋_GB2312" w:cs="仿宋_GB2312"/>
          <w:i w:val="0"/>
          <w:iCs w:val="0"/>
          <w:caps w:val="0"/>
          <w:color w:val="auto"/>
          <w:spacing w:val="0"/>
          <w:kern w:val="2"/>
          <w:sz w:val="32"/>
          <w:szCs w:val="32"/>
          <w:highlight w:val="none"/>
          <w:shd w:val="clear" w:fill="auto"/>
          <w:lang w:bidi="ar-SA"/>
        </w:rPr>
        <w:t>五篇大文章</w:t>
      </w:r>
      <w:r>
        <w:rPr>
          <w:rFonts w:hint="eastAsia" w:cs="仿宋_GB2312"/>
          <w:i w:val="0"/>
          <w:iCs w:val="0"/>
          <w:caps w:val="0"/>
          <w:color w:val="auto"/>
          <w:spacing w:val="0"/>
          <w:kern w:val="2"/>
          <w:sz w:val="32"/>
          <w:szCs w:val="32"/>
          <w:highlight w:val="none"/>
          <w:shd w:val="clear"/>
          <w:lang w:val="en-US" w:eastAsia="zh-CN" w:bidi="ar-SA"/>
        </w:rPr>
        <w:t>”</w:t>
      </w:r>
      <w:r>
        <w:rPr>
          <w:rFonts w:hint="eastAsia" w:ascii="仿宋_GB2312" w:hAnsi="仿宋_GB2312" w:eastAsia="仿宋_GB2312" w:cs="仿宋_GB2312"/>
          <w:i w:val="0"/>
          <w:iCs w:val="0"/>
          <w:caps w:val="0"/>
          <w:color w:val="auto"/>
          <w:spacing w:val="0"/>
          <w:kern w:val="2"/>
          <w:sz w:val="32"/>
          <w:szCs w:val="32"/>
          <w:highlight w:val="none"/>
          <w:shd w:val="clear" w:fill="auto"/>
          <w:lang w:bidi="ar-SA"/>
        </w:rPr>
        <w:t>，引导金融资源更多投向科技创新、绿色发展、中小微企业、民生改善等重点领域和薄弱环节。大力推动企业上市和直接融资，支持优质企业对接多层次资本市场。健全绿色金融发展机制，引导金融机构创新绿色信贷、绿色债券等产品和服务，加大对节能环保、清洁能源等领域的金融支持。深化普惠金融服务，增加对民营、小微、涉农等市场主体的首贷、信用贷和中长期贷款投放。丰富养老金融产品供给，规范发展第三支柱养老保险。深化数字金融创新与应用，推动地方金融综合服务平台迭代升级，以金融科技赋能实体经济提质增效。</w:t>
      </w:r>
    </w:p>
    <w:p w14:paraId="1FC930FE">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322" w:name="_Toc6475"/>
      <w:bookmarkStart w:id="323" w:name="_Toc28965"/>
      <w:r>
        <w:rPr>
          <w:rFonts w:hint="eastAsia" w:ascii="黑体" w:hAnsi="黑体" w:eastAsia="黑体" w:cs="黑体"/>
          <w:color w:val="auto"/>
          <w:highlight w:val="none"/>
          <w:lang w:val="en-US" w:eastAsia="zh-CN"/>
        </w:rPr>
        <w:t>三、营造一流营商环境</w:t>
      </w:r>
      <w:bookmarkEnd w:id="322"/>
      <w:bookmarkEnd w:id="323"/>
    </w:p>
    <w:p w14:paraId="5351273B">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围绕打造市场化、法治化、国际化一流营商环境目标，坚持以市场主体需求为导向，以深化要素配置改革和创新市场监管为驱动，着力破除体制机制障碍，降低制度性交易成本，激发市场主体活力和创造力。</w:t>
      </w:r>
    </w:p>
    <w:p w14:paraId="544EDD6B">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楷体_GB2312" w:hAnsi="楷体_GB2312" w:eastAsia="楷体_GB2312" w:cs="楷体_GB2312"/>
          <w:color w:val="auto"/>
          <w:sz w:val="32"/>
          <w:szCs w:val="22"/>
          <w:highlight w:val="none"/>
          <w:lang w:val="en-US" w:eastAsia="zh-CN" w:bidi="ar-SA"/>
        </w:rPr>
      </w:pPr>
      <w:r>
        <w:rPr>
          <w:rFonts w:hint="eastAsia" w:ascii="楷体_GB2312" w:hAnsi="楷体_GB2312" w:eastAsia="楷体_GB2312" w:cs="楷体_GB2312"/>
          <w:color w:val="auto"/>
          <w:sz w:val="32"/>
          <w:szCs w:val="22"/>
          <w:highlight w:val="none"/>
          <w:lang w:val="en-US" w:eastAsia="zh-CN" w:bidi="ar-SA"/>
        </w:rPr>
        <w:t>（一）强化政府服务意识。</w:t>
      </w:r>
      <w:r>
        <w:rPr>
          <w:rFonts w:hint="eastAsia" w:ascii="仿宋_GB2312" w:hAnsi="仿宋_GB2312" w:eastAsia="仿宋_GB2312" w:cs="仿宋_GB2312"/>
          <w:color w:val="auto"/>
          <w:kern w:val="2"/>
          <w:sz w:val="32"/>
          <w:szCs w:val="32"/>
          <w:highlight w:val="none"/>
          <w:lang w:val="en-US" w:eastAsia="zh-CN" w:bidi="ar-SA"/>
        </w:rPr>
        <w:t>以“高效办成一件事”为总牵引，健全“高效办成一件事”重点事项常态化推进机制，</w:t>
      </w:r>
      <w:r>
        <w:rPr>
          <w:rFonts w:hint="eastAsia" w:cs="仿宋_GB2312"/>
          <w:color w:val="auto"/>
          <w:kern w:val="2"/>
          <w:sz w:val="32"/>
          <w:szCs w:val="32"/>
          <w:highlight w:val="none"/>
          <w:lang w:val="en-US" w:eastAsia="zh-CN" w:bidi="ar-SA"/>
        </w:rPr>
        <w:t>加快推进</w:t>
      </w:r>
      <w:r>
        <w:rPr>
          <w:rFonts w:hint="eastAsia" w:ascii="仿宋_GB2312" w:hAnsi="仿宋_GB2312" w:eastAsia="仿宋_GB2312" w:cs="仿宋_GB2312"/>
          <w:color w:val="auto"/>
          <w:kern w:val="2"/>
          <w:sz w:val="32"/>
          <w:szCs w:val="32"/>
          <w:highlight w:val="none"/>
          <w:lang w:val="en-US" w:eastAsia="zh-CN" w:bidi="ar-SA"/>
        </w:rPr>
        <w:t>企业和个人全生命周期重要阶段“高效办成一件事”重点事项全面落地实施。秉持“经济发展服务生”理念，践行“围墙外的政府干、围墙内的政府帮”工作导向，区级领导带头深入企业开展问题“摸排销”，以企业群众满意度为核心标尺倒逼服务提质增效。聚焦企业群众关注度、需求度高的领域，深化拓展增值服务改革，打造“增值服务</w:t>
      </w:r>
      <w:r>
        <w:rPr>
          <w:rFonts w:hint="eastAsia" w:cs="仿宋_GB2312"/>
          <w:color w:val="auto"/>
          <w:kern w:val="2"/>
          <w:sz w:val="32"/>
          <w:szCs w:val="32"/>
          <w:highlight w:val="none"/>
          <w:lang w:val="en-US" w:eastAsia="zh-CN" w:bidi="ar-SA"/>
        </w:rPr>
        <w:t>＋</w:t>
      </w:r>
      <w:r>
        <w:rPr>
          <w:rFonts w:hint="eastAsia" w:ascii="仿宋_GB2312" w:hAnsi="仿宋_GB2312" w:eastAsia="仿宋_GB2312" w:cs="仿宋_GB2312"/>
          <w:color w:val="auto"/>
          <w:kern w:val="2"/>
          <w:sz w:val="32"/>
          <w:szCs w:val="32"/>
          <w:highlight w:val="none"/>
          <w:lang w:val="en-US" w:eastAsia="zh-CN" w:bidi="ar-SA"/>
        </w:rPr>
        <w:t>政务服务”立体化服务模式，积极探索形成可复制、可推广的创新举措，塑强“在济阳·济时办”政务服务品牌，为全区高质量发展筑牢坚实政务服务支撑。</w:t>
      </w:r>
    </w:p>
    <w:p w14:paraId="3FB2E396">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仿宋_GB2312" w:hAnsi="仿宋_GB2312" w:eastAsia="仿宋_GB2312" w:cs="仿宋_GB2312"/>
          <w:color w:val="auto"/>
          <w:kern w:val="2"/>
          <w:szCs w:val="32"/>
          <w:highlight w:val="none"/>
          <w:lang w:val="en-US" w:eastAsia="zh-CN"/>
        </w:rPr>
      </w:pPr>
      <w:r>
        <w:rPr>
          <w:rFonts w:hint="eastAsia" w:ascii="楷体_GB2312" w:hAnsi="楷体_GB2312" w:eastAsia="楷体_GB2312" w:cs="楷体_GB2312"/>
          <w:color w:val="auto"/>
          <w:sz w:val="32"/>
          <w:szCs w:val="22"/>
          <w:highlight w:val="none"/>
          <w:lang w:val="en-US" w:eastAsia="zh-CN" w:bidi="ar-SA"/>
        </w:rPr>
        <w:t>（二）完善要素市场化配置</w:t>
      </w:r>
      <w:r>
        <w:rPr>
          <w:rFonts w:hint="eastAsia" w:ascii="仿宋_GB2312" w:hAnsi="仿宋_GB2312" w:eastAsia="仿宋_GB2312" w:cs="仿宋_GB2312"/>
          <w:color w:val="auto"/>
          <w:kern w:val="2"/>
          <w:szCs w:val="32"/>
          <w:highlight w:val="none"/>
          <w:lang w:val="en-US" w:eastAsia="zh-CN"/>
        </w:rPr>
        <w:t>。聚焦要素市场化配置关键环节，全面提升配置效率与公平性。优化土地与人口要素配置，深化土地管理制度改革，强化国土空间规划引领，推动产业用地兼容转换和闲置土地盘活，同步实施人口中长期均衡发展战略，促进人口与产业、城市协同发展。强化资金与人才</w:t>
      </w:r>
      <w:r>
        <w:rPr>
          <w:rFonts w:hint="eastAsia" w:cs="仿宋_GB2312"/>
          <w:color w:val="auto"/>
          <w:kern w:val="2"/>
          <w:szCs w:val="32"/>
          <w:highlight w:val="none"/>
          <w:lang w:val="en-US" w:eastAsia="zh-CN"/>
        </w:rPr>
        <w:t>等要素</w:t>
      </w:r>
      <w:r>
        <w:rPr>
          <w:rFonts w:hint="eastAsia" w:ascii="仿宋_GB2312" w:hAnsi="仿宋_GB2312" w:eastAsia="仿宋_GB2312" w:cs="仿宋_GB2312"/>
          <w:color w:val="auto"/>
          <w:kern w:val="2"/>
          <w:szCs w:val="32"/>
          <w:highlight w:val="none"/>
          <w:lang w:val="en-US" w:eastAsia="zh-CN"/>
        </w:rPr>
        <w:t>保障，健全项目与基础设施“双同步”机制，完善产业发展基金和惠企政策直达体系，深入实施“闻韶人才”领航工程，强化高端人才引育和企业用工支撑。健全技术与价格要素市场机制，推进知识产权便利化改革，探索数据产权与流通制度，完善主要由市场决定价格的机制，加快构建高效、公平、绿色的现代要素市场体系。</w:t>
      </w:r>
    </w:p>
    <w:p w14:paraId="6CD1EFE5">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仿宋_GB2312" w:hAnsi="仿宋_GB2312" w:eastAsia="仿宋_GB2312" w:cs="仿宋_GB2312"/>
          <w:color w:val="auto"/>
          <w:kern w:val="2"/>
          <w:szCs w:val="32"/>
          <w:highlight w:val="none"/>
          <w:lang w:val="en-US" w:eastAsia="zh-CN"/>
        </w:rPr>
      </w:pPr>
      <w:r>
        <w:rPr>
          <w:rFonts w:hint="eastAsia" w:ascii="楷体_GB2312" w:hAnsi="楷体_GB2312" w:eastAsia="楷体_GB2312" w:cs="楷体_GB2312"/>
          <w:color w:val="auto"/>
          <w:sz w:val="32"/>
          <w:szCs w:val="22"/>
          <w:highlight w:val="none"/>
          <w:lang w:val="en-US" w:eastAsia="zh-CN" w:bidi="ar-SA"/>
        </w:rPr>
        <w:t>（三）着力优化市场监管</w:t>
      </w:r>
      <w:r>
        <w:rPr>
          <w:rFonts w:hint="eastAsia" w:ascii="仿宋_GB2312" w:hAnsi="仿宋_GB2312" w:eastAsia="仿宋_GB2312" w:cs="仿宋_GB2312"/>
          <w:color w:val="auto"/>
          <w:kern w:val="2"/>
          <w:szCs w:val="32"/>
          <w:highlight w:val="none"/>
          <w:lang w:val="en-US" w:eastAsia="zh-CN"/>
        </w:rPr>
        <w:t>。坚持“寓监管于服务”理念，深化服务型执法，构建以信用为基础、以科技为支撑的现代化市场监管体系。积极探索“无感监管”，推广应用远程监管、移动监管和风险预警防控等非现场监管方式。推进人工智能技术在市场监管领域的深度融合，优先在食品生产、药品经营等领域实现远程数据感知与智能研判预警。严格执行国家市场监管领域行政处罚裁量基准，推动跨区域监管执法结果互认，营造规范透明、公平统一的法治化营商环境。</w:t>
      </w:r>
    </w:p>
    <w:bookmarkEnd w:id="314"/>
    <w:bookmarkEnd w:id="315"/>
    <w:bookmarkEnd w:id="316"/>
    <w:bookmarkEnd w:id="317"/>
    <w:bookmarkEnd w:id="318"/>
    <w:bookmarkEnd w:id="319"/>
    <w:p w14:paraId="4E7C62E3">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324" w:name="_Toc16908"/>
      <w:bookmarkStart w:id="325" w:name="_Toc12287"/>
      <w:bookmarkStart w:id="326" w:name="_Toc31162"/>
      <w:bookmarkStart w:id="327" w:name="_Toc21088"/>
      <w:bookmarkStart w:id="328" w:name="_Toc31187"/>
      <w:bookmarkStart w:id="329" w:name="_Toc12029"/>
      <w:bookmarkStart w:id="330" w:name="_Toc7656"/>
      <w:bookmarkStart w:id="331" w:name="_Toc23107"/>
      <w:r>
        <w:rPr>
          <w:rFonts w:hint="eastAsia" w:ascii="黑体" w:hAnsi="黑体" w:eastAsia="黑体" w:cs="黑体"/>
          <w:color w:val="auto"/>
          <w:highlight w:val="none"/>
          <w:lang w:val="en-US" w:eastAsia="zh-CN"/>
        </w:rPr>
        <w:t>四、提高对外开放质效</w:t>
      </w:r>
      <w:bookmarkEnd w:id="324"/>
      <w:bookmarkEnd w:id="325"/>
      <w:bookmarkEnd w:id="326"/>
      <w:bookmarkEnd w:id="327"/>
      <w:bookmarkEnd w:id="328"/>
      <w:bookmarkEnd w:id="329"/>
      <w:bookmarkEnd w:id="330"/>
      <w:bookmarkEnd w:id="331"/>
    </w:p>
    <w:p w14:paraId="2E1746D2">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仿宋_GB2312" w:hAnsi="仿宋_GB2312" w:eastAsia="仿宋_GB2312" w:cs="仿宋_GB2312"/>
          <w:color w:val="auto"/>
          <w:kern w:val="2"/>
          <w:szCs w:val="32"/>
          <w:highlight w:val="none"/>
          <w:lang w:val="en-US" w:eastAsia="zh-CN"/>
        </w:rPr>
      </w:pPr>
      <w:bookmarkStart w:id="332" w:name="_Toc25430"/>
      <w:bookmarkStart w:id="333" w:name="_Toc23782"/>
      <w:bookmarkStart w:id="334" w:name="_Toc28970"/>
      <w:bookmarkStart w:id="335" w:name="_Toc4610"/>
      <w:bookmarkStart w:id="336" w:name="_Toc9917"/>
      <w:bookmarkStart w:id="337" w:name="_Toc10868"/>
      <w:r>
        <w:rPr>
          <w:rFonts w:hint="eastAsia" w:ascii="仿宋_GB2312" w:hAnsi="仿宋_GB2312" w:eastAsia="仿宋_GB2312" w:cs="仿宋_GB2312"/>
          <w:color w:val="auto"/>
          <w:kern w:val="2"/>
          <w:szCs w:val="32"/>
          <w:highlight w:val="none"/>
          <w:lang w:val="en-US" w:eastAsia="zh-CN"/>
        </w:rPr>
        <w:t>坚持开放引领战略，以制度创新赋能、业态升级驱动、平台建设支撑，深度融入区域协调发展和国家开放大局，着力构建全方位、多层次、宽领域对外开放新格局。</w:t>
      </w:r>
    </w:p>
    <w:p w14:paraId="6482540D">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仿宋_GB2312" w:hAnsi="仿宋_GB2312" w:eastAsia="仿宋_GB2312" w:cs="仿宋_GB2312"/>
          <w:color w:val="auto"/>
          <w:kern w:val="2"/>
          <w:szCs w:val="32"/>
          <w:highlight w:val="none"/>
          <w:lang w:val="en-US" w:eastAsia="zh-CN"/>
        </w:rPr>
      </w:pPr>
      <w:r>
        <w:rPr>
          <w:rFonts w:hint="eastAsia" w:ascii="楷体_GB2312" w:hAnsi="楷体_GB2312" w:eastAsia="楷体_GB2312" w:cs="楷体_GB2312"/>
          <w:color w:val="auto"/>
          <w:kern w:val="2"/>
          <w:szCs w:val="32"/>
          <w:highlight w:val="none"/>
          <w:lang w:val="en-US" w:eastAsia="zh-CN"/>
        </w:rPr>
        <w:t>（一）全面提升利用外资质量效益</w:t>
      </w:r>
      <w:r>
        <w:rPr>
          <w:rFonts w:hint="eastAsia" w:ascii="仿宋_GB2312" w:hAnsi="仿宋_GB2312" w:eastAsia="仿宋_GB2312" w:cs="仿宋_GB2312"/>
          <w:color w:val="auto"/>
          <w:kern w:val="2"/>
          <w:szCs w:val="32"/>
          <w:highlight w:val="none"/>
          <w:lang w:val="en-US" w:eastAsia="zh-CN"/>
        </w:rPr>
        <w:t>。优化外资发展环境，持续完善与国际通行规则相衔接的制度体系，营造市场化、法治化、国际化营商环境，复制推广自贸试验区投资便利化政策，简化外资企业设立、项目审批流程，推行“一站式”通关服务，压缩通关时间。全面落实外资准入负面清单，清理市场准入隐性壁垒，保障外资企业平等享受要素资源。强化外资精准招引，提升先进制造业、现代服务业利用外资比重，推动产业高端化发展。</w:t>
      </w:r>
    </w:p>
    <w:p w14:paraId="0E14AE36">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仿宋_GB2312" w:hAnsi="仿宋_GB2312" w:eastAsia="仿宋_GB2312" w:cs="仿宋_GB2312"/>
          <w:color w:val="auto"/>
          <w:kern w:val="2"/>
          <w:szCs w:val="32"/>
          <w:highlight w:val="none"/>
          <w:lang w:val="en-US" w:eastAsia="zh-CN"/>
        </w:rPr>
      </w:pPr>
      <w:r>
        <w:rPr>
          <w:rFonts w:hint="eastAsia" w:ascii="楷体_GB2312" w:hAnsi="楷体_GB2312" w:eastAsia="楷体_GB2312" w:cs="楷体_GB2312"/>
          <w:color w:val="auto"/>
          <w:kern w:val="2"/>
          <w:szCs w:val="32"/>
          <w:highlight w:val="none"/>
          <w:lang w:val="en-US" w:eastAsia="zh-CN"/>
        </w:rPr>
        <w:t>（二）加快培育外贸新增量</w:t>
      </w:r>
      <w:r>
        <w:rPr>
          <w:rFonts w:hint="eastAsia" w:ascii="仿宋_GB2312" w:hAnsi="仿宋_GB2312" w:eastAsia="仿宋_GB2312" w:cs="仿宋_GB2312"/>
          <w:color w:val="auto"/>
          <w:kern w:val="2"/>
          <w:szCs w:val="32"/>
          <w:highlight w:val="none"/>
          <w:lang w:val="en-US" w:eastAsia="zh-CN"/>
        </w:rPr>
        <w:t>。支持企业融入“一带一路”，持续开拓国际市场，</w:t>
      </w:r>
      <w:r>
        <w:rPr>
          <w:rFonts w:hint="eastAsia" w:cs="仿宋_GB2312"/>
          <w:color w:val="auto"/>
          <w:kern w:val="2"/>
          <w:szCs w:val="32"/>
          <w:highlight w:val="none"/>
          <w:lang w:val="en-US" w:eastAsia="zh-CN"/>
        </w:rPr>
        <w:t>加快推进</w:t>
      </w:r>
      <w:r>
        <w:rPr>
          <w:rFonts w:hint="eastAsia" w:ascii="仿宋_GB2312" w:hAnsi="仿宋_GB2312" w:eastAsia="仿宋_GB2312" w:cs="仿宋_GB2312"/>
          <w:color w:val="auto"/>
          <w:kern w:val="2"/>
          <w:szCs w:val="32"/>
          <w:highlight w:val="none"/>
          <w:lang w:val="en-US" w:eastAsia="zh-CN"/>
        </w:rPr>
        <w:t>对外开放。加大力度布局跨境电商</w:t>
      </w:r>
      <w:r>
        <w:rPr>
          <w:rFonts w:hint="eastAsia" w:cs="仿宋_GB2312"/>
          <w:color w:val="auto"/>
          <w:kern w:val="2"/>
          <w:szCs w:val="32"/>
          <w:highlight w:val="none"/>
          <w:lang w:val="en-US" w:eastAsia="zh-CN"/>
        </w:rPr>
        <w:t>、</w:t>
      </w:r>
      <w:r>
        <w:rPr>
          <w:rFonts w:hint="eastAsia" w:ascii="仿宋_GB2312" w:hAnsi="仿宋_GB2312" w:eastAsia="仿宋_GB2312" w:cs="仿宋_GB2312"/>
          <w:color w:val="auto"/>
          <w:kern w:val="2"/>
          <w:szCs w:val="32"/>
          <w:highlight w:val="none"/>
          <w:lang w:val="en-US" w:eastAsia="zh-CN"/>
        </w:rPr>
        <w:t>海外仓</w:t>
      </w:r>
      <w:r>
        <w:rPr>
          <w:rFonts w:hint="eastAsia" w:cs="仿宋_GB2312"/>
          <w:color w:val="auto"/>
          <w:kern w:val="2"/>
          <w:szCs w:val="32"/>
          <w:highlight w:val="none"/>
          <w:lang w:val="en-US" w:eastAsia="zh-CN"/>
        </w:rPr>
        <w:t>等</w:t>
      </w:r>
      <w:r>
        <w:rPr>
          <w:rFonts w:hint="eastAsia" w:ascii="仿宋_GB2312" w:hAnsi="仿宋_GB2312" w:eastAsia="仿宋_GB2312" w:cs="仿宋_GB2312"/>
          <w:color w:val="auto"/>
          <w:kern w:val="2"/>
          <w:szCs w:val="32"/>
          <w:highlight w:val="none"/>
          <w:lang w:val="en-US" w:eastAsia="zh-CN"/>
        </w:rPr>
        <w:t>，大力发展跨境电商贸易，联合线上品牌和平台，拓展新国货品牌、宅生活服务等消费增长新空间</w:t>
      </w:r>
      <w:r>
        <w:rPr>
          <w:rFonts w:hint="eastAsia" w:cs="仿宋_GB2312"/>
          <w:color w:val="auto"/>
          <w:kern w:val="2"/>
          <w:szCs w:val="32"/>
          <w:highlight w:val="none"/>
          <w:lang w:val="en-US" w:eastAsia="zh-CN"/>
        </w:rPr>
        <w:t>，</w:t>
      </w:r>
      <w:r>
        <w:rPr>
          <w:rFonts w:hint="eastAsia" w:ascii="仿宋_GB2312" w:hAnsi="仿宋_GB2312" w:eastAsia="仿宋_GB2312" w:cs="仿宋_GB2312"/>
          <w:color w:val="auto"/>
          <w:kern w:val="2"/>
          <w:szCs w:val="32"/>
          <w:highlight w:val="none"/>
          <w:lang w:val="en-US" w:eastAsia="zh-CN"/>
        </w:rPr>
        <w:t>优化贸易结构。</w:t>
      </w:r>
      <w:r>
        <w:rPr>
          <w:rFonts w:hint="eastAsia" w:cs="仿宋_GB2312"/>
          <w:color w:val="auto"/>
          <w:kern w:val="2"/>
          <w:szCs w:val="32"/>
          <w:highlight w:val="none"/>
          <w:lang w:val="en-US" w:eastAsia="zh-CN"/>
        </w:rPr>
        <w:t>加强与</w:t>
      </w:r>
      <w:r>
        <w:rPr>
          <w:rFonts w:hint="eastAsia" w:ascii="仿宋_GB2312" w:hAnsi="仿宋_GB2312" w:eastAsia="仿宋_GB2312" w:cs="仿宋_GB2312"/>
          <w:color w:val="auto"/>
          <w:kern w:val="2"/>
          <w:szCs w:val="32"/>
          <w:highlight w:val="none"/>
          <w:lang w:val="en-US" w:eastAsia="zh-CN"/>
        </w:rPr>
        <w:t>济南综合保税区</w:t>
      </w:r>
      <w:r>
        <w:rPr>
          <w:rFonts w:hint="eastAsia" w:cs="仿宋_GB2312"/>
          <w:color w:val="auto"/>
          <w:kern w:val="2"/>
          <w:szCs w:val="32"/>
          <w:highlight w:val="none"/>
          <w:lang w:val="en-US" w:eastAsia="zh-CN"/>
        </w:rPr>
        <w:t>合作，</w:t>
      </w:r>
      <w:r>
        <w:rPr>
          <w:rFonts w:hint="eastAsia" w:ascii="仿宋_GB2312" w:hAnsi="仿宋_GB2312" w:eastAsia="仿宋_GB2312" w:cs="仿宋_GB2312"/>
          <w:color w:val="auto"/>
          <w:kern w:val="2"/>
          <w:szCs w:val="32"/>
          <w:highlight w:val="none"/>
          <w:lang w:val="en-US" w:eastAsia="zh-CN"/>
        </w:rPr>
        <w:t>积极争取设立保税物流中心等平台，提升贸易便利化水平。内外协同开拓多元化市场，依托外贸政策宣讲会、山东外贸优品库以及重点展会、对接洽谈会等平台资源，引导企业开拓</w:t>
      </w:r>
      <w:r>
        <w:rPr>
          <w:rFonts w:hint="eastAsia" w:cs="仿宋_GB2312"/>
          <w:color w:val="auto"/>
          <w:kern w:val="2"/>
          <w:szCs w:val="32"/>
          <w:highlight w:val="none"/>
          <w:lang w:val="en-US" w:eastAsia="zh-CN"/>
        </w:rPr>
        <w:t>国际</w:t>
      </w:r>
      <w:r>
        <w:rPr>
          <w:rFonts w:hint="eastAsia" w:ascii="仿宋_GB2312" w:hAnsi="仿宋_GB2312" w:eastAsia="仿宋_GB2312" w:cs="仿宋_GB2312"/>
          <w:color w:val="auto"/>
          <w:kern w:val="2"/>
          <w:szCs w:val="32"/>
          <w:highlight w:val="none"/>
          <w:lang w:val="en-US" w:eastAsia="zh-CN"/>
        </w:rPr>
        <w:t>和国内市场，推动内外贸一体化发展。大力发展服务贸易与服务外包，强化产业规划与政策引导，重点引进和培育一批服务外包企业，提升技术承接与跨境服务能力，构建差异化、专业化的服务出口体系。</w:t>
      </w:r>
    </w:p>
    <w:p w14:paraId="19444FD7">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仿宋_GB2312" w:hAnsi="仿宋_GB2312" w:eastAsia="仿宋_GB2312" w:cs="仿宋_GB2312"/>
          <w:color w:val="auto"/>
          <w:kern w:val="2"/>
          <w:szCs w:val="32"/>
          <w:highlight w:val="none"/>
          <w:lang w:val="en-US" w:eastAsia="zh-CN"/>
        </w:rPr>
      </w:pPr>
      <w:r>
        <w:rPr>
          <w:rFonts w:hint="eastAsia" w:ascii="楷体_GB2312" w:hAnsi="楷体_GB2312" w:eastAsia="楷体_GB2312" w:cs="楷体_GB2312"/>
          <w:color w:val="auto"/>
          <w:kern w:val="2"/>
          <w:szCs w:val="32"/>
          <w:highlight w:val="none"/>
          <w:lang w:val="en-US" w:eastAsia="zh-CN"/>
        </w:rPr>
        <w:t>（三）搭建多元化开放平台</w:t>
      </w:r>
      <w:r>
        <w:rPr>
          <w:rFonts w:hint="eastAsia" w:ascii="仿宋_GB2312" w:hAnsi="仿宋_GB2312" w:eastAsia="仿宋_GB2312" w:cs="仿宋_GB2312"/>
          <w:color w:val="auto"/>
          <w:kern w:val="2"/>
          <w:szCs w:val="32"/>
          <w:highlight w:val="none"/>
          <w:lang w:val="en-US" w:eastAsia="zh-CN"/>
        </w:rPr>
        <w:t>。强化开放平台载体功能，聚焦对台经贸与特色产业，为起步区延链补链，共建区域经济增长极。</w:t>
      </w:r>
      <w:r>
        <w:rPr>
          <w:rFonts w:hint="eastAsia" w:cs="仿宋_GB2312"/>
          <w:color w:val="auto"/>
          <w:kern w:val="2"/>
          <w:szCs w:val="32"/>
          <w:highlight w:val="none"/>
          <w:lang w:val="en-US" w:eastAsia="zh-CN"/>
        </w:rPr>
        <w:t>充分借助</w:t>
      </w:r>
      <w:r>
        <w:rPr>
          <w:rFonts w:hint="eastAsia" w:ascii="仿宋_GB2312" w:hAnsi="仿宋_GB2312" w:eastAsia="仿宋_GB2312" w:cs="仿宋_GB2312"/>
          <w:color w:val="auto"/>
          <w:kern w:val="2"/>
          <w:szCs w:val="32"/>
          <w:highlight w:val="none"/>
          <w:lang w:val="en-US" w:eastAsia="zh-CN"/>
        </w:rPr>
        <w:t>国际展会、论坛，高质量办好区域建设推进会等品牌活动，加强区域形象宣传推广。用好进博会、广交会、服贸会等国家级平台，复制推广先进经验，依托自贸区政策优势，简化审批流程，优化通关服务，共同营造一流营商环境，促进资源要素自由流动。</w:t>
      </w:r>
    </w:p>
    <w:p w14:paraId="3917C988">
      <w:pPr>
        <w:rPr>
          <w:rFonts w:hint="eastAsia"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br w:type="page"/>
      </w:r>
    </w:p>
    <w:p w14:paraId="349F189F">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eastAsia" w:ascii="仿宋_GB2312" w:hAnsi="仿宋_GB2312" w:eastAsia="仿宋_GB2312" w:cs="仿宋_GB2312"/>
          <w:color w:val="auto"/>
          <w:kern w:val="2"/>
          <w:szCs w:val="32"/>
          <w:highlight w:val="none"/>
          <w:lang w:val="en-US" w:eastAsia="zh-CN"/>
        </w:rPr>
      </w:pPr>
    </w:p>
    <w:p w14:paraId="14372BFF">
      <w:pPr>
        <w:keepNext w:val="0"/>
        <w:keepLines w:val="0"/>
        <w:pageBreakBefore w:val="0"/>
        <w:widowControl w:val="0"/>
        <w:suppressLineNumbers w:val="0"/>
        <w:shd w:val="clear"/>
        <w:kinsoku/>
        <w:wordWrap/>
        <w:overflowPunct w:val="0"/>
        <w:topLinePunct w:val="0"/>
        <w:autoSpaceDE/>
        <w:autoSpaceDN/>
        <w:bidi w:val="0"/>
        <w:adjustRightInd/>
        <w:snapToGrid/>
        <w:spacing w:before="157" w:beforeLines="50" w:after="157" w:afterLines="50" w:afterAutospacing="0" w:line="600" w:lineRule="exact"/>
        <w:ind w:left="0" w:leftChars="0" w:firstLine="0" w:firstLineChars="0"/>
        <w:jc w:val="center"/>
        <w:textAlignment w:val="auto"/>
        <w:outlineLvl w:val="0"/>
        <w:rPr>
          <w:rFonts w:hint="eastAsia" w:ascii="方正小标宋简体" w:hAnsi="方正小标宋简体" w:eastAsia="方正小标宋简体" w:cs="方正小标宋简体"/>
          <w:color w:val="auto"/>
          <w:spacing w:val="0"/>
          <w:kern w:val="0"/>
          <w:sz w:val="32"/>
          <w:szCs w:val="32"/>
          <w:highlight w:val="none"/>
          <w:lang w:val="en-US" w:eastAsia="zh-CN" w:bidi="ar"/>
        </w:rPr>
      </w:pPr>
      <w:bookmarkStart w:id="338" w:name="_Toc30185"/>
      <w:bookmarkStart w:id="339" w:name="_Toc19871"/>
      <w:r>
        <w:rPr>
          <w:rFonts w:hint="eastAsia" w:ascii="方正小标宋简体" w:hAnsi="方正小标宋简体" w:eastAsia="方正小标宋简体" w:cs="方正小标宋简体"/>
          <w:color w:val="auto"/>
          <w:spacing w:val="0"/>
          <w:kern w:val="0"/>
          <w:sz w:val="32"/>
          <w:szCs w:val="32"/>
          <w:highlight w:val="none"/>
          <w:lang w:val="en-US" w:eastAsia="zh-CN" w:bidi="ar"/>
        </w:rPr>
        <w:t>第九章  筑牢生态安全屏障，构建人与自然和谐共生新城区</w:t>
      </w:r>
      <w:bookmarkEnd w:id="332"/>
      <w:bookmarkEnd w:id="333"/>
      <w:bookmarkEnd w:id="334"/>
      <w:bookmarkEnd w:id="335"/>
      <w:bookmarkEnd w:id="336"/>
      <w:bookmarkEnd w:id="337"/>
      <w:bookmarkEnd w:id="338"/>
      <w:bookmarkEnd w:id="339"/>
    </w:p>
    <w:p w14:paraId="1447CD03">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9"/>
        <w:rPr>
          <w:rFonts w:hint="default" w:ascii="Times New Roman" w:hAnsi="Times New Roman" w:eastAsia="仿宋_GB2312" w:cs="Times New Roman"/>
          <w:color w:val="auto"/>
          <w:highlight w:val="none"/>
          <w:lang w:val="en-US" w:eastAsia="zh-CN"/>
        </w:rPr>
      </w:pPr>
      <w:bookmarkStart w:id="340" w:name="_Toc9167"/>
      <w:bookmarkStart w:id="341" w:name="_Toc30646"/>
      <w:bookmarkStart w:id="342" w:name="_Toc10750"/>
      <w:bookmarkStart w:id="343" w:name="_Toc14197"/>
      <w:r>
        <w:rPr>
          <w:rFonts w:ascii="Times New Roman" w:hAnsi="Times New Roman" w:eastAsia="仿宋_GB2312" w:cs="Times New Roman"/>
          <w:i w:val="0"/>
          <w:iCs w:val="0"/>
          <w:caps w:val="0"/>
          <w:color w:val="auto"/>
          <w:spacing w:val="0"/>
          <w:sz w:val="32"/>
          <w:szCs w:val="22"/>
          <w:highlight w:val="none"/>
          <w:shd w:val="clear" w:fill="FFFFFF"/>
        </w:rPr>
        <w:t>牢固树立和践行绿水青山就是金山银山的理念，</w:t>
      </w:r>
      <w:r>
        <w:rPr>
          <w:rFonts w:hint="eastAsia" w:ascii="Times New Roman" w:hAnsi="Times New Roman" w:cs="Times New Roman"/>
          <w:i w:val="0"/>
          <w:iCs w:val="0"/>
          <w:caps w:val="0"/>
          <w:color w:val="auto"/>
          <w:spacing w:val="0"/>
          <w:sz w:val="32"/>
          <w:szCs w:val="22"/>
          <w:highlight w:val="none"/>
          <w:shd w:val="clear" w:fill="FFFFFF"/>
          <w:lang w:val="en-US" w:eastAsia="zh-CN"/>
        </w:rPr>
        <w:t>积极</w:t>
      </w:r>
      <w:r>
        <w:rPr>
          <w:rFonts w:hint="eastAsia" w:ascii="Times New Roman" w:hAnsi="Times New Roman" w:eastAsia="仿宋_GB2312" w:cs="Times New Roman"/>
          <w:i w:val="0"/>
          <w:iCs w:val="0"/>
          <w:caps w:val="0"/>
          <w:color w:val="auto"/>
          <w:spacing w:val="0"/>
          <w:sz w:val="32"/>
          <w:szCs w:val="22"/>
          <w:highlight w:val="none"/>
          <w:shd w:val="clear"/>
        </w:rPr>
        <w:t>稳妥推进</w:t>
      </w:r>
      <w:r>
        <w:rPr>
          <w:rFonts w:hint="eastAsia" w:ascii="Times New Roman" w:hAnsi="Times New Roman" w:cs="Times New Roman"/>
          <w:i w:val="0"/>
          <w:iCs w:val="0"/>
          <w:caps w:val="0"/>
          <w:color w:val="auto"/>
          <w:spacing w:val="0"/>
          <w:sz w:val="32"/>
          <w:szCs w:val="22"/>
          <w:highlight w:val="none"/>
          <w:shd w:val="clear"/>
          <w:lang w:val="en-US" w:eastAsia="zh-CN"/>
        </w:rPr>
        <w:t>和实现</w:t>
      </w:r>
      <w:r>
        <w:rPr>
          <w:rFonts w:hint="eastAsia" w:ascii="Times New Roman" w:hAnsi="Times New Roman" w:eastAsia="仿宋_GB2312" w:cs="Times New Roman"/>
          <w:i w:val="0"/>
          <w:iCs w:val="0"/>
          <w:caps w:val="0"/>
          <w:color w:val="auto"/>
          <w:spacing w:val="0"/>
          <w:sz w:val="32"/>
          <w:szCs w:val="22"/>
          <w:highlight w:val="none"/>
          <w:shd w:val="clear"/>
        </w:rPr>
        <w:t>碳达峰</w:t>
      </w:r>
      <w:r>
        <w:rPr>
          <w:rFonts w:hint="eastAsia" w:ascii="Times New Roman" w:hAnsi="Times New Roman" w:cs="Times New Roman"/>
          <w:i w:val="0"/>
          <w:iCs w:val="0"/>
          <w:caps w:val="0"/>
          <w:color w:val="auto"/>
          <w:spacing w:val="0"/>
          <w:sz w:val="32"/>
          <w:szCs w:val="22"/>
          <w:highlight w:val="none"/>
          <w:shd w:val="clear"/>
          <w:lang w:eastAsia="zh-CN"/>
        </w:rPr>
        <w:t>，</w:t>
      </w:r>
      <w:r>
        <w:rPr>
          <w:rFonts w:ascii="Times New Roman" w:hAnsi="Times New Roman" w:eastAsia="仿宋_GB2312" w:cs="Times New Roman"/>
          <w:i w:val="0"/>
          <w:iCs w:val="0"/>
          <w:caps w:val="0"/>
          <w:color w:val="auto"/>
          <w:spacing w:val="0"/>
          <w:sz w:val="32"/>
          <w:szCs w:val="22"/>
          <w:highlight w:val="none"/>
          <w:shd w:val="clear" w:fill="FFFFFF"/>
        </w:rPr>
        <w:t>优化国土空间开发保护格局，提升生态系统质量和稳定性，协同推进生态修复、环境治理与绿色发展，持续改善区域环境质量，夯实人与自然和谐共生的生态本底。</w:t>
      </w:r>
    </w:p>
    <w:p w14:paraId="4E8356BA">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344" w:name="_Toc19747"/>
      <w:bookmarkStart w:id="345" w:name="_Toc25072"/>
      <w:bookmarkStart w:id="346" w:name="_Toc20151"/>
      <w:bookmarkStart w:id="347" w:name="_Toc13102"/>
      <w:bookmarkStart w:id="348" w:name="_Toc949"/>
      <w:r>
        <w:rPr>
          <w:rFonts w:hint="eastAsia" w:ascii="黑体" w:hAnsi="黑体" w:eastAsia="黑体" w:cs="黑体"/>
          <w:color w:val="auto"/>
          <w:highlight w:val="none"/>
          <w:lang w:val="en-US" w:eastAsia="zh-CN"/>
        </w:rPr>
        <w:t>一、积极稳妥推进碳达峰</w:t>
      </w:r>
      <w:bookmarkEnd w:id="340"/>
      <w:bookmarkEnd w:id="341"/>
      <w:bookmarkEnd w:id="342"/>
      <w:bookmarkEnd w:id="344"/>
      <w:bookmarkEnd w:id="345"/>
      <w:bookmarkEnd w:id="346"/>
      <w:bookmarkEnd w:id="347"/>
      <w:bookmarkEnd w:id="348"/>
    </w:p>
    <w:p w14:paraId="2BD84315">
      <w:pPr>
        <w:pStyle w:val="8"/>
        <w:keepNext w:val="0"/>
        <w:keepLines w:val="0"/>
        <w:pageBreakBefore w:val="0"/>
        <w:widowControl w:val="0"/>
        <w:shd w:val="clear"/>
        <w:kinsoku/>
        <w:wordWrap/>
        <w:overflowPunct w:val="0"/>
        <w:topLinePunct w:val="0"/>
        <w:autoSpaceDE/>
        <w:autoSpaceDN/>
        <w:bidi w:val="0"/>
        <w:spacing w:after="0" w:line="600" w:lineRule="exact"/>
        <w:ind w:left="0" w:lef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聚焦碳达峰、碳中和目标</w:t>
      </w:r>
      <w:r>
        <w:rPr>
          <w:rFonts w:hint="eastAsia" w:cs="仿宋_GB2312"/>
          <w:b w:val="0"/>
          <w:bCs w:val="0"/>
          <w:color w:val="auto"/>
          <w:sz w:val="32"/>
          <w:szCs w:val="32"/>
          <w:highlight w:val="none"/>
          <w:u w:val="none"/>
          <w:lang w:val="en-US" w:eastAsia="zh-CN"/>
        </w:rPr>
        <w:t>，</w:t>
      </w:r>
      <w:r>
        <w:rPr>
          <w:rFonts w:hint="eastAsia" w:ascii="仿宋_GB2312" w:hAnsi="仿宋_GB2312" w:eastAsia="仿宋_GB2312" w:cs="仿宋_GB2312"/>
          <w:b w:val="0"/>
          <w:bCs w:val="0"/>
          <w:color w:val="auto"/>
          <w:sz w:val="32"/>
          <w:szCs w:val="32"/>
          <w:highlight w:val="none"/>
          <w:u w:val="none"/>
          <w:lang w:val="en-US" w:eastAsia="zh-CN"/>
        </w:rPr>
        <w:t>以经济社会发展全面绿色转型为引领，加快形成节约资源和保护环境的产业结构、生产方式、生活方式，坚定不移走生态优先、绿色低碳的高质量发展道路。</w:t>
      </w:r>
    </w:p>
    <w:p w14:paraId="7BEBE69B">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（一）落实碳排放双控制度。</w:t>
      </w:r>
      <w:r>
        <w:rPr>
          <w:rFonts w:hint="eastAsia" w:ascii="仿宋_GB2312" w:hAnsi="仿宋_GB2312" w:eastAsia="仿宋_GB2312" w:cs="仿宋_GB2312"/>
          <w:b w:val="0"/>
          <w:bCs w:val="0"/>
          <w:color w:val="auto"/>
          <w:spacing w:val="0"/>
          <w:kern w:val="2"/>
          <w:sz w:val="32"/>
          <w:szCs w:val="32"/>
          <w:highlight w:val="none"/>
          <w:lang w:val="en-US" w:eastAsia="zh-CN"/>
        </w:rPr>
        <w:t>落实能耗双控向碳排放双控全面转型新机制</w:t>
      </w:r>
      <w:r>
        <w:rPr>
          <w:rFonts w:hint="eastAsia" w:ascii="仿宋_GB2312" w:hAnsi="仿宋_GB2312" w:cs="仿宋_GB2312"/>
          <w:color w:val="auto"/>
          <w:kern w:val="2"/>
          <w:szCs w:val="32"/>
          <w:highlight w:val="none"/>
        </w:rPr>
        <w:t>，全面开展能效创新引领，</w:t>
      </w:r>
      <w:r>
        <w:rPr>
          <w:rFonts w:hint="eastAsia"/>
          <w:color w:val="auto"/>
          <w:kern w:val="2"/>
          <w:szCs w:val="32"/>
          <w:highlight w:val="none"/>
          <w:lang w:val="en-US" w:eastAsia="zh-CN"/>
        </w:rPr>
        <w:t>严控重点行业新增产能，合理控制化石能源消费，开展二氧化碳排放达峰行动，推动减污降碳协同增效。大力发展新能源和可再生能源，严格控制煤炭消费总量，积极开展燃煤锅炉关停整合。完善碳排放控制体系，探索与用能权、电力市场的协同。积极开展“近零碳”园区、社区建设，鼓励全民参与，推进碳达峰碳中和。</w:t>
      </w:r>
    </w:p>
    <w:p w14:paraId="5281FA33">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（二）推进重点工业领域绿色低碳转型。</w:t>
      </w:r>
      <w:r>
        <w:rPr>
          <w:rFonts w:hint="eastAsia"/>
          <w:color w:val="auto"/>
          <w:kern w:val="2"/>
          <w:szCs w:val="32"/>
          <w:highlight w:val="none"/>
          <w:lang w:val="en-US" w:eastAsia="zh-CN"/>
        </w:rPr>
        <w:t>深化重点行业管控，健全高耗能企业碳排放监管机制，严控食品加工等领域排放强度，引导企业开展工艺升级与能效对标。</w:t>
      </w:r>
      <w:r>
        <w:rPr>
          <w:rFonts w:hint="eastAsia" w:ascii="仿宋_GB2312" w:hAnsi="仿宋_GB2312" w:eastAsia="仿宋_GB2312" w:cs="仿宋_GB2312"/>
          <w:i w:val="0"/>
          <w:iCs w:val="0"/>
          <w:caps w:val="0"/>
          <w:color w:val="auto"/>
          <w:spacing w:val="0"/>
          <w:kern w:val="2"/>
          <w:sz w:val="32"/>
          <w:szCs w:val="32"/>
          <w:highlight w:val="none"/>
          <w:shd w:val="clear" w:color="auto" w:fill="auto"/>
          <w:lang w:val="en-US" w:eastAsia="zh-CN"/>
        </w:rPr>
        <w:t>加强高耗能、高排放建设项目清洁生产改造，采取先进适用的工艺技术和装备，单位产品能耗、物耗和水耗等达到清洁生产先进水平。</w:t>
      </w:r>
      <w:r>
        <w:rPr>
          <w:rFonts w:hint="eastAsia"/>
          <w:color w:val="auto"/>
          <w:kern w:val="2"/>
          <w:szCs w:val="32"/>
          <w:highlight w:val="none"/>
          <w:lang w:val="en-US" w:eastAsia="zh-CN"/>
        </w:rPr>
        <w:t>推动工业绿色转型，依托新能源汽车产业集群优势，规模化建设绿色工厂，探索园区近零碳路径。深化园区循环改造，</w:t>
      </w:r>
      <w:r>
        <w:rPr>
          <w:rFonts w:hint="default"/>
          <w:color w:val="auto"/>
          <w:kern w:val="2"/>
          <w:szCs w:val="32"/>
          <w:highlight w:val="none"/>
          <w:lang w:val="en-US" w:eastAsia="zh-CN"/>
        </w:rPr>
        <w:t>推动省级园区循环化改造，构建农业废弃物“秸秆</w:t>
      </w:r>
      <w:r>
        <w:rPr>
          <w:rFonts w:hint="eastAsia"/>
          <w:color w:val="auto"/>
          <w:kern w:val="2"/>
          <w:szCs w:val="32"/>
          <w:highlight w:val="none"/>
          <w:lang w:val="en-US" w:eastAsia="zh-CN"/>
        </w:rPr>
        <w:t>-</w:t>
      </w:r>
      <w:r>
        <w:rPr>
          <w:rFonts w:hint="default"/>
          <w:color w:val="auto"/>
          <w:kern w:val="2"/>
          <w:szCs w:val="32"/>
          <w:highlight w:val="none"/>
          <w:lang w:val="en-US" w:eastAsia="zh-CN"/>
        </w:rPr>
        <w:t>生物质能</w:t>
      </w:r>
      <w:r>
        <w:rPr>
          <w:rFonts w:hint="eastAsia"/>
          <w:color w:val="auto"/>
          <w:kern w:val="2"/>
          <w:szCs w:val="32"/>
          <w:highlight w:val="none"/>
          <w:lang w:val="en-US" w:eastAsia="zh-CN"/>
        </w:rPr>
        <w:t>-</w:t>
      </w:r>
      <w:r>
        <w:rPr>
          <w:rFonts w:hint="default"/>
          <w:color w:val="auto"/>
          <w:kern w:val="2"/>
          <w:szCs w:val="32"/>
          <w:highlight w:val="none"/>
          <w:lang w:val="en-US" w:eastAsia="zh-CN"/>
        </w:rPr>
        <w:t>有机肥”循环体系。</w:t>
      </w:r>
    </w:p>
    <w:p w14:paraId="78AF7193">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（三）大力发展循环经济。</w:t>
      </w:r>
      <w:r>
        <w:rPr>
          <w:rFonts w:hint="eastAsia"/>
          <w:color w:val="auto"/>
          <w:kern w:val="2"/>
          <w:szCs w:val="32"/>
          <w:highlight w:val="none"/>
        </w:rPr>
        <w:t>推广循环经济发展模式，完善再生资源回收和循环利用体系，提高全社会资源产出率。加快推进固体废物综合利用</w:t>
      </w:r>
      <w:r>
        <w:rPr>
          <w:rFonts w:hint="eastAsia"/>
          <w:color w:val="auto"/>
          <w:kern w:val="2"/>
          <w:szCs w:val="32"/>
          <w:highlight w:val="none"/>
          <w:lang w:eastAsia="zh-CN"/>
        </w:rPr>
        <w:t>，</w:t>
      </w:r>
      <w:r>
        <w:rPr>
          <w:rFonts w:hint="eastAsia"/>
          <w:color w:val="auto"/>
          <w:kern w:val="2"/>
          <w:szCs w:val="32"/>
          <w:highlight w:val="none"/>
        </w:rPr>
        <w:t>促进固体废弃物减量化、再利用、资源化，推动企业循环式生产、产业循环式组合、园区循环式改造</w:t>
      </w:r>
      <w:r>
        <w:rPr>
          <w:rFonts w:hint="eastAsia"/>
          <w:color w:val="auto"/>
          <w:kern w:val="2"/>
          <w:szCs w:val="32"/>
          <w:highlight w:val="none"/>
          <w:lang w:eastAsia="zh-CN"/>
        </w:rPr>
        <w:t>。开展病虫全程绿色防控，不断提高主要农作物病虫绿色防控覆盖率，聚焦水、肥、药等要素，推动农业节水、高效施肥、兽药减量，推广种养加一体化发展模式。</w:t>
      </w:r>
      <w:r>
        <w:rPr>
          <w:rFonts w:hint="eastAsia"/>
          <w:color w:val="auto"/>
          <w:kern w:val="2"/>
          <w:szCs w:val="32"/>
          <w:highlight w:val="none"/>
        </w:rPr>
        <w:t>大力发展低碳旅游，推动零售批发、餐饮住宿、现代物流业循环发展，促进服务主体绿色化、服务过程清洁化。完善再生资源回收体系，统筹布局再生资源分拣中心，推动再生资源回收互联网公共服务平台建设，促进再生资源回收与利用环节的有效衔接。</w:t>
      </w:r>
    </w:p>
    <w:p w14:paraId="2B7DA50B">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b w:val="0"/>
          <w:bCs w:val="0"/>
          <w:color w:val="auto"/>
          <w:spacing w:val="0"/>
          <w:kern w:val="2"/>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（四）推动城乡建设低碳发展。</w:t>
      </w:r>
      <w:r>
        <w:rPr>
          <w:rFonts w:hint="eastAsia" w:ascii="仿宋_GB2312" w:hAnsi="仿宋_GB2312" w:eastAsia="仿宋_GB2312" w:cs="仿宋_GB2312"/>
          <w:b w:val="0"/>
          <w:bCs w:val="0"/>
          <w:color w:val="auto"/>
          <w:spacing w:val="0"/>
          <w:kern w:val="2"/>
          <w:sz w:val="32"/>
          <w:szCs w:val="32"/>
          <w:highlight w:val="none"/>
          <w:lang w:val="en-US" w:eastAsia="zh-CN"/>
        </w:rPr>
        <w:t>持续提升新建建筑节能标准，规模化发展超低能耗建筑，推动新建及改扩建项目全面执行绿色建筑标准。推进既有建筑和市政基础设施节能改造，重点开展公共建筑节能与绿色化综合整治。</w:t>
      </w:r>
      <w:r>
        <w:rPr>
          <w:rFonts w:hint="eastAsia"/>
          <w:color w:val="auto"/>
          <w:kern w:val="2"/>
          <w:szCs w:val="32"/>
          <w:highlight w:val="none"/>
          <w:lang w:val="en-US" w:eastAsia="zh-CN"/>
        </w:rPr>
        <w:t>完善低碳基础设施，完善城乡充电网络与物流车V2G设施。</w:t>
      </w:r>
      <w:r>
        <w:rPr>
          <w:rFonts w:hint="eastAsia" w:ascii="仿宋_GB2312" w:hAnsi="仿宋_GB2312" w:eastAsia="仿宋_GB2312" w:cs="仿宋_GB2312"/>
          <w:b w:val="0"/>
          <w:bCs w:val="0"/>
          <w:color w:val="auto"/>
          <w:spacing w:val="0"/>
          <w:kern w:val="2"/>
          <w:sz w:val="32"/>
          <w:szCs w:val="32"/>
          <w:highlight w:val="none"/>
          <w:lang w:val="en-US" w:eastAsia="zh-CN"/>
        </w:rPr>
        <w:t>积极推广可再生能源在建筑领域的应用，加强建筑垃圾源头管控与资源化利用，引导绿色农房建设技术普及，全面提升建筑绿色低碳发展水平。</w:t>
      </w:r>
    </w:p>
    <w:p w14:paraId="2FBB3BD2">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（五）倡导绿色低碳生活方式。</w:t>
      </w:r>
      <w:r>
        <w:rPr>
          <w:rFonts w:hint="eastAsia"/>
          <w:color w:val="auto"/>
          <w:kern w:val="2"/>
          <w:szCs w:val="32"/>
          <w:highlight w:val="none"/>
        </w:rPr>
        <w:t>倡导绿色消费，促进新能源汽车、节能家电、高效照明产品、节水器具等绿色产品销售。开展“光盘行动</w:t>
      </w:r>
      <w:r>
        <w:rPr>
          <w:rFonts w:hint="eastAsia"/>
          <w:color w:val="auto"/>
          <w:kern w:val="2"/>
          <w:szCs w:val="32"/>
          <w:highlight w:val="none"/>
          <w:lang w:eastAsia="zh-CN"/>
        </w:rPr>
        <w:t>”</w:t>
      </w:r>
      <w:r>
        <w:rPr>
          <w:rFonts w:hint="eastAsia"/>
          <w:color w:val="auto"/>
          <w:kern w:val="2"/>
          <w:szCs w:val="32"/>
          <w:highlight w:val="none"/>
        </w:rPr>
        <w:t>“文明餐桌</w:t>
      </w:r>
      <w:r>
        <w:rPr>
          <w:rFonts w:hint="eastAsia"/>
          <w:color w:val="auto"/>
          <w:kern w:val="2"/>
          <w:szCs w:val="32"/>
          <w:highlight w:val="none"/>
          <w:lang w:eastAsia="zh-CN"/>
        </w:rPr>
        <w:t>”</w:t>
      </w:r>
      <w:r>
        <w:rPr>
          <w:rFonts w:hint="eastAsia"/>
          <w:color w:val="auto"/>
          <w:kern w:val="2"/>
          <w:szCs w:val="32"/>
          <w:highlight w:val="none"/>
        </w:rPr>
        <w:t>等，</w:t>
      </w:r>
      <w:r>
        <w:rPr>
          <w:rFonts w:hint="eastAsia"/>
          <w:color w:val="auto"/>
          <w:kern w:val="2"/>
          <w:szCs w:val="32"/>
          <w:highlight w:val="none"/>
          <w:lang w:eastAsia="zh-CN"/>
        </w:rPr>
        <w:t>增强</w:t>
      </w:r>
      <w:r>
        <w:rPr>
          <w:rFonts w:hint="eastAsia"/>
          <w:color w:val="auto"/>
          <w:kern w:val="2"/>
          <w:szCs w:val="32"/>
          <w:highlight w:val="none"/>
        </w:rPr>
        <w:t>全社会节约意识。健全绿色出行激励机制，倡导低碳出行。</w:t>
      </w:r>
      <w:r>
        <w:rPr>
          <w:rFonts w:hint="eastAsia"/>
          <w:color w:val="auto"/>
          <w:kern w:val="2"/>
          <w:szCs w:val="32"/>
          <w:highlight w:val="none"/>
          <w:lang w:val="en-US" w:eastAsia="zh-CN"/>
        </w:rPr>
        <w:t>拓展低碳生活场景，深化碳普惠平台与个人碳账户联动，拓展绿色商场、社区等低碳场景。</w:t>
      </w:r>
      <w:r>
        <w:rPr>
          <w:rFonts w:hint="eastAsia"/>
          <w:color w:val="auto"/>
          <w:kern w:val="2"/>
          <w:szCs w:val="32"/>
          <w:highlight w:val="none"/>
        </w:rPr>
        <w:t>推进生活垃圾源头减量、精准分类和资源化利用，</w:t>
      </w:r>
      <w:r>
        <w:rPr>
          <w:rFonts w:hint="eastAsia"/>
          <w:color w:val="auto"/>
          <w:kern w:val="2"/>
          <w:szCs w:val="32"/>
          <w:highlight w:val="none"/>
          <w:lang w:val="en-US" w:eastAsia="zh-CN"/>
        </w:rPr>
        <w:t>推动生活绿色转型，</w:t>
      </w:r>
      <w:r>
        <w:rPr>
          <w:rFonts w:hint="default"/>
          <w:color w:val="auto"/>
          <w:kern w:val="2"/>
          <w:szCs w:val="32"/>
          <w:highlight w:val="none"/>
          <w:lang w:val="en-US" w:eastAsia="zh-CN"/>
        </w:rPr>
        <w:t>全面推进生活垃圾分类，倡导绿色低碳生活方式</w:t>
      </w:r>
      <w:r>
        <w:rPr>
          <w:rFonts w:hint="eastAsia"/>
          <w:color w:val="auto"/>
          <w:kern w:val="2"/>
          <w:szCs w:val="32"/>
          <w:highlight w:val="none"/>
          <w:lang w:val="en-US" w:eastAsia="zh-CN"/>
        </w:rPr>
        <w:t>，</w:t>
      </w:r>
      <w:r>
        <w:rPr>
          <w:rFonts w:hint="eastAsia"/>
          <w:color w:val="auto"/>
          <w:kern w:val="2"/>
          <w:szCs w:val="32"/>
          <w:highlight w:val="none"/>
        </w:rPr>
        <w:t>推进全域“无废城市”建设。深化开展节约型机关、绿色家庭、绿色学校、绿色社区、绿色商场等“绿色细胞”创建行动，形成一批绿色生活优秀典型</w:t>
      </w:r>
      <w:r>
        <w:rPr>
          <w:rFonts w:hint="eastAsia"/>
          <w:color w:val="auto"/>
          <w:kern w:val="2"/>
          <w:szCs w:val="32"/>
          <w:highlight w:val="none"/>
          <w:lang w:eastAsia="zh-CN"/>
        </w:rPr>
        <w:t>。</w:t>
      </w:r>
    </w:p>
    <w:bookmarkEnd w:id="343"/>
    <w:p w14:paraId="703DA69D">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349" w:name="_Toc11327"/>
      <w:bookmarkStart w:id="350" w:name="_Toc15251"/>
      <w:bookmarkStart w:id="351" w:name="_Toc22111"/>
      <w:bookmarkStart w:id="352" w:name="_Toc14792"/>
      <w:bookmarkStart w:id="353" w:name="_Toc2878"/>
      <w:bookmarkStart w:id="354" w:name="_Toc21511"/>
      <w:bookmarkStart w:id="355" w:name="_Toc31592"/>
      <w:bookmarkStart w:id="356" w:name="_Toc14096"/>
      <w:r>
        <w:rPr>
          <w:rFonts w:hint="eastAsia" w:ascii="黑体" w:hAnsi="黑体" w:eastAsia="黑体" w:cs="黑体"/>
          <w:color w:val="auto"/>
          <w:highlight w:val="none"/>
          <w:lang w:val="en-US" w:eastAsia="zh-CN"/>
        </w:rPr>
        <w:t>二、提升生态系统质量和稳定性</w:t>
      </w:r>
      <w:bookmarkEnd w:id="349"/>
      <w:bookmarkEnd w:id="350"/>
      <w:bookmarkEnd w:id="351"/>
      <w:bookmarkEnd w:id="352"/>
      <w:bookmarkEnd w:id="353"/>
      <w:bookmarkEnd w:id="354"/>
      <w:bookmarkEnd w:id="355"/>
      <w:bookmarkEnd w:id="356"/>
    </w:p>
    <w:p w14:paraId="333AE2B1">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color w:val="auto"/>
          <w:kern w:val="2"/>
          <w:szCs w:val="32"/>
          <w:highlight w:val="none"/>
        </w:rPr>
        <w:t>遵循生态系统的整体性、系统性、动态性及其内在规律</w:t>
      </w:r>
      <w:r>
        <w:rPr>
          <w:rFonts w:hint="eastAsia"/>
          <w:color w:val="auto"/>
          <w:kern w:val="2"/>
          <w:szCs w:val="32"/>
          <w:highlight w:val="none"/>
          <w:lang w:eastAsia="zh-CN"/>
        </w:rPr>
        <w:t>，</w:t>
      </w:r>
      <w:r>
        <w:rPr>
          <w:rFonts w:hint="eastAsia"/>
          <w:color w:val="auto"/>
          <w:kern w:val="2"/>
          <w:szCs w:val="32"/>
          <w:highlight w:val="none"/>
        </w:rPr>
        <w:t>紧密衔接济南市生态空间结构，构建“两廊两心一网”的全域生态安全格局，通过生态网络建设强化区域生态系统的稳定性。</w:t>
      </w:r>
    </w:p>
    <w:p w14:paraId="592D38A5">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eastAsia="zh-CN"/>
        </w:rPr>
      </w:pPr>
      <w:r>
        <w:rPr>
          <w:rFonts w:hint="eastAsia" w:ascii="楷体_GB2312" w:hAnsi="楷体_GB2312" w:eastAsia="楷体_GB2312" w:cs="楷体_GB2312"/>
          <w:b w:val="0"/>
          <w:bCs w:val="0"/>
          <w:color w:val="auto"/>
          <w:spacing w:val="0"/>
          <w:sz w:val="32"/>
          <w:szCs w:val="32"/>
          <w:highlight w:val="none"/>
          <w:lang w:val="en-US" w:eastAsia="zh-CN"/>
        </w:rPr>
        <w:t>（一）构筑“两廊两心一网”的全域生态安全格局。</w:t>
      </w:r>
      <w:r>
        <w:rPr>
          <w:rFonts w:hint="eastAsia"/>
          <w:color w:val="auto"/>
          <w:kern w:val="2"/>
          <w:szCs w:val="32"/>
          <w:highlight w:val="none"/>
        </w:rPr>
        <w:t>以黄河河道水域、堤防防护林带为主体，发挥防洪护岸、水源涵养、生物栖息等综合生态功能，强化生物栖息地保护，加强水污染治理</w:t>
      </w:r>
      <w:r>
        <w:rPr>
          <w:rFonts w:hint="eastAsia"/>
          <w:color w:val="auto"/>
          <w:kern w:val="2"/>
          <w:szCs w:val="32"/>
          <w:highlight w:val="none"/>
          <w:lang w:val="en-US" w:eastAsia="zh-CN"/>
        </w:rPr>
        <w:t>和</w:t>
      </w:r>
      <w:r>
        <w:rPr>
          <w:rFonts w:hint="eastAsia"/>
          <w:color w:val="auto"/>
          <w:kern w:val="2"/>
          <w:szCs w:val="32"/>
          <w:highlight w:val="none"/>
        </w:rPr>
        <w:t>生态修复。加快推进沿</w:t>
      </w:r>
      <w:r>
        <w:rPr>
          <w:rFonts w:hint="eastAsia"/>
          <w:color w:val="auto"/>
          <w:kern w:val="2"/>
          <w:szCs w:val="32"/>
          <w:highlight w:val="none"/>
          <w:lang w:val="en-US" w:eastAsia="zh-CN"/>
        </w:rPr>
        <w:t>黄</w:t>
      </w:r>
      <w:r>
        <w:rPr>
          <w:rFonts w:hint="eastAsia"/>
          <w:color w:val="auto"/>
          <w:kern w:val="2"/>
          <w:szCs w:val="32"/>
          <w:highlight w:val="none"/>
        </w:rPr>
        <w:t>生态廊道防护林建设，构建连续贯通的滨水生态景观岸线</w:t>
      </w:r>
      <w:r>
        <w:rPr>
          <w:rFonts w:hint="eastAsia"/>
          <w:color w:val="auto"/>
          <w:kern w:val="2"/>
          <w:szCs w:val="32"/>
          <w:highlight w:val="none"/>
          <w:lang w:eastAsia="zh-CN"/>
        </w:rPr>
        <w:t>，</w:t>
      </w:r>
      <w:r>
        <w:rPr>
          <w:rFonts w:hint="eastAsia"/>
          <w:color w:val="auto"/>
          <w:kern w:val="2"/>
          <w:szCs w:val="32"/>
          <w:highlight w:val="none"/>
        </w:rPr>
        <w:t>采取防洪治理、生态治理、岸线修复、文化景观提升等措施</w:t>
      </w:r>
      <w:r>
        <w:rPr>
          <w:rFonts w:hint="eastAsia"/>
          <w:color w:val="auto"/>
          <w:kern w:val="2"/>
          <w:szCs w:val="32"/>
          <w:highlight w:val="none"/>
          <w:lang w:eastAsia="zh-CN"/>
        </w:rPr>
        <w:t>，</w:t>
      </w:r>
      <w:r>
        <w:rPr>
          <w:rFonts w:hint="eastAsia"/>
          <w:color w:val="auto"/>
          <w:kern w:val="2"/>
          <w:szCs w:val="32"/>
          <w:highlight w:val="none"/>
        </w:rPr>
        <w:t>打造美丽幸福示范河道，提升河道生态环境。</w:t>
      </w:r>
    </w:p>
    <w:p w14:paraId="5FA55B52">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b w:val="0"/>
          <w:bCs w:val="0"/>
          <w:color w:val="auto"/>
          <w:kern w:val="2"/>
          <w:sz w:val="32"/>
          <w:szCs w:val="32"/>
          <w:highlight w:val="none"/>
          <w:lang w:val="en-US" w:eastAsia="zh-CN" w:bidi="ar-SA"/>
          <w14:ligatures w14:val="none"/>
        </w:rPr>
      </w:pPr>
      <w:r>
        <w:rPr>
          <w:rFonts w:hint="eastAsia" w:ascii="楷体_GB2312" w:hAnsi="楷体_GB2312" w:eastAsia="楷体_GB2312" w:cs="楷体_GB2312"/>
          <w:b w:val="0"/>
          <w:bCs w:val="0"/>
          <w:color w:val="auto"/>
          <w:spacing w:val="0"/>
          <w:sz w:val="32"/>
          <w:szCs w:val="32"/>
          <w:highlight w:val="none"/>
          <w:lang w:val="en-US" w:eastAsia="zh-CN"/>
        </w:rPr>
        <w:t>（二）保护修复自然生态系统。</w:t>
      </w:r>
      <w:r>
        <w:rPr>
          <w:rFonts w:hint="eastAsia"/>
          <w:color w:val="auto"/>
          <w:kern w:val="2"/>
          <w:szCs w:val="32"/>
          <w:highlight w:val="none"/>
          <w:lang w:val="en-US" w:eastAsia="zh-CN"/>
        </w:rPr>
        <w:t>严格落实林长制责任，构建古树名木保护与生物防火林带协同屏障。提升国土绿化质效，推动国土绿化向林网提质增效转型，持续推进增绿生态绿化项目建设，提升绿地景观品质。加强生物多样性保护，完善外来物种防控及林业有害生物防控机制。</w:t>
      </w:r>
      <w:r>
        <w:rPr>
          <w:rFonts w:hint="eastAsia"/>
          <w:color w:val="auto"/>
          <w:kern w:val="2"/>
          <w:szCs w:val="32"/>
          <w:highlight w:val="none"/>
        </w:rPr>
        <w:t>密织生态廊道网络，着力推进生态廊道的沿河、沿路防护林建设，增强林木蓄积量，通过土地整治强化生态网络的连续性和整体性，提升</w:t>
      </w:r>
      <w:r>
        <w:rPr>
          <w:rFonts w:hint="eastAsia"/>
          <w:color w:val="auto"/>
          <w:kern w:val="2"/>
          <w:szCs w:val="32"/>
          <w:highlight w:val="none"/>
          <w:lang w:eastAsia="zh-CN"/>
        </w:rPr>
        <w:t>生物多样性保护</w:t>
      </w:r>
      <w:r>
        <w:rPr>
          <w:rFonts w:hint="eastAsia"/>
          <w:color w:val="auto"/>
          <w:kern w:val="2"/>
          <w:szCs w:val="32"/>
          <w:highlight w:val="none"/>
        </w:rPr>
        <w:t>和生态系统服务功能</w:t>
      </w:r>
      <w:r>
        <w:rPr>
          <w:rFonts w:hint="eastAsia"/>
          <w:color w:val="auto"/>
          <w:kern w:val="2"/>
          <w:szCs w:val="32"/>
          <w:highlight w:val="none"/>
          <w:lang w:eastAsia="zh-CN"/>
        </w:rPr>
        <w:t>，</w:t>
      </w:r>
      <w:r>
        <w:rPr>
          <w:rFonts w:hint="eastAsia"/>
          <w:color w:val="auto"/>
          <w:kern w:val="2"/>
          <w:szCs w:val="32"/>
          <w:highlight w:val="none"/>
          <w:lang w:val="en-US" w:eastAsia="zh-CN"/>
        </w:rPr>
        <w:t>因地制宜发展林下经济、林果经济。</w:t>
      </w:r>
    </w:p>
    <w:p w14:paraId="0852860A">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（三）健全生态产品价值实现机制。</w:t>
      </w:r>
      <w:r>
        <w:rPr>
          <w:rFonts w:hint="eastAsia"/>
          <w:color w:val="auto"/>
          <w:highlight w:val="none"/>
          <w:lang w:val="en-US" w:eastAsia="zh-CN"/>
        </w:rPr>
        <w:t>健全生态产品动态监测制度，有序推进统一确权登记，积极开展生态产品信息普查。</w:t>
      </w:r>
      <w:r>
        <w:rPr>
          <w:rFonts w:hint="eastAsia" w:ascii="仿宋_GB2312" w:hAnsi="仿宋_GB2312" w:eastAsia="仿宋_GB2312" w:cs="仿宋_GB2312"/>
          <w:i w:val="0"/>
          <w:iCs w:val="0"/>
          <w:caps w:val="0"/>
          <w:color w:val="auto"/>
          <w:spacing w:val="0"/>
          <w:sz w:val="32"/>
          <w:szCs w:val="22"/>
          <w:highlight w:val="none"/>
          <w:shd w:val="clear" w:fill="auto"/>
        </w:rPr>
        <w:t>加强绿色金融政策支持和制度创新，引导金融机构开展绿色信贷，鼓励融资担保机构为符合条件的生态产品经营开发主体提供融资担保</w:t>
      </w:r>
      <w:r>
        <w:rPr>
          <w:rFonts w:hint="eastAsia"/>
          <w:color w:val="auto"/>
          <w:kern w:val="2"/>
          <w:szCs w:val="32"/>
          <w:highlight w:val="none"/>
          <w:lang w:val="en-US" w:eastAsia="zh-CN"/>
        </w:rPr>
        <w:t>。</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加快推进碳金融发展，引导各类金融机构加大对碳金融重点项目的支持力度</w:t>
      </w:r>
      <w:r>
        <w:rPr>
          <w:rFonts w:hint="eastAsia" w:ascii="仿宋_GB2312" w:hAnsi="仿宋_GB2312" w:eastAsia="仿宋_GB2312" w:cs="仿宋_GB2312"/>
          <w:i w:val="0"/>
          <w:iCs w:val="0"/>
          <w:caps w:val="0"/>
          <w:color w:val="auto"/>
          <w:spacing w:val="0"/>
          <w:sz w:val="32"/>
          <w:szCs w:val="22"/>
          <w:highlight w:val="none"/>
          <w:shd w:val="clear" w:fill="auto"/>
        </w:rPr>
        <w:t>，</w:t>
      </w:r>
      <w:r>
        <w:rPr>
          <w:rFonts w:hint="eastAsia" w:cs="仿宋_GB2312"/>
          <w:i w:val="0"/>
          <w:iCs w:val="0"/>
          <w:caps w:val="0"/>
          <w:color w:val="auto"/>
          <w:spacing w:val="0"/>
          <w:sz w:val="32"/>
          <w:szCs w:val="22"/>
          <w:highlight w:val="none"/>
          <w:shd w:val="clear" w:fill="auto"/>
          <w:lang w:val="en-US" w:eastAsia="zh-CN"/>
        </w:rPr>
        <w:t>积极</w:t>
      </w:r>
      <w:r>
        <w:rPr>
          <w:rFonts w:hint="eastAsia"/>
          <w:color w:val="auto"/>
          <w:kern w:val="0"/>
          <w:szCs w:val="22"/>
          <w:highlight w:val="none"/>
          <w:lang w:val="en-US" w:eastAsia="zh-CN"/>
        </w:rPr>
        <w:t>推进大</w:t>
      </w:r>
      <w:r>
        <w:rPr>
          <w:rFonts w:hint="eastAsia"/>
          <w:color w:val="auto"/>
          <w:kern w:val="2"/>
          <w:szCs w:val="32"/>
          <w:highlight w:val="none"/>
          <w:lang w:val="en-US" w:eastAsia="zh-CN"/>
        </w:rPr>
        <w:t>寺河流域水生态环境治理与生态循环农业融合发展项目（EOD）等项目建设。推进生态产品供需对接，促进生态产品价值增值，推动生态资源权益交易。</w:t>
      </w:r>
    </w:p>
    <w:p w14:paraId="44E20A6E">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357" w:name="_Toc2196"/>
      <w:bookmarkStart w:id="358" w:name="_Toc17716"/>
      <w:bookmarkStart w:id="359" w:name="_Toc3368"/>
      <w:bookmarkStart w:id="360" w:name="_Toc32112"/>
      <w:bookmarkStart w:id="361" w:name="_Toc24556"/>
      <w:bookmarkStart w:id="362" w:name="_Toc30833"/>
      <w:bookmarkStart w:id="363" w:name="_Toc15548"/>
      <w:bookmarkStart w:id="364" w:name="_Toc2875"/>
      <w:r>
        <w:rPr>
          <w:rFonts w:hint="eastAsia" w:ascii="黑体" w:hAnsi="黑体" w:eastAsia="黑体" w:cs="黑体"/>
          <w:color w:val="auto"/>
          <w:highlight w:val="none"/>
          <w:lang w:val="en-US" w:eastAsia="zh-CN"/>
        </w:rPr>
        <w:t>三、全面改善环境质量</w:t>
      </w:r>
      <w:bookmarkEnd w:id="357"/>
      <w:bookmarkEnd w:id="358"/>
      <w:bookmarkEnd w:id="359"/>
      <w:bookmarkEnd w:id="360"/>
      <w:bookmarkEnd w:id="361"/>
      <w:bookmarkEnd w:id="362"/>
      <w:bookmarkEnd w:id="363"/>
      <w:bookmarkEnd w:id="364"/>
    </w:p>
    <w:p w14:paraId="71EBB89C">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eastAsia="仿宋_GB2312"/>
          <w:color w:val="auto"/>
          <w:kern w:val="2"/>
          <w:szCs w:val="32"/>
          <w:highlight w:val="none"/>
          <w:lang w:val="en-US" w:eastAsia="zh-CN"/>
        </w:rPr>
      </w:pPr>
      <w:r>
        <w:rPr>
          <w:rFonts w:hint="eastAsia" w:ascii="仿宋_GB2312" w:hAnsi="仿宋_GB2312" w:eastAsia="仿宋_GB2312" w:cs="仿宋_GB2312"/>
          <w:b w:val="0"/>
          <w:bCs w:val="0"/>
          <w:i w:val="0"/>
          <w:iCs w:val="0"/>
          <w:caps w:val="0"/>
          <w:color w:val="auto"/>
          <w:spacing w:val="0"/>
          <w:sz w:val="32"/>
          <w:szCs w:val="32"/>
          <w:highlight w:val="none"/>
          <w:u w:val="none"/>
          <w:shd w:val="clear"/>
        </w:rPr>
        <w:t>坚持精准治污、科学治污、依法治污</w:t>
      </w:r>
      <w:r>
        <w:rPr>
          <w:rFonts w:hint="eastAsia" w:ascii="仿宋_GB2312" w:hAnsi="仿宋_GB2312" w:cs="仿宋_GB2312"/>
          <w:b w:val="0"/>
          <w:bCs w:val="0"/>
          <w:i w:val="0"/>
          <w:iCs w:val="0"/>
          <w:caps w:val="0"/>
          <w:color w:val="auto"/>
          <w:spacing w:val="0"/>
          <w:sz w:val="32"/>
          <w:szCs w:val="32"/>
          <w:highlight w:val="none"/>
          <w:u w:val="none"/>
          <w:shd w:val="clear"/>
          <w:lang w:eastAsia="zh-CN"/>
        </w:rPr>
        <w:t>，</w:t>
      </w:r>
      <w:r>
        <w:rPr>
          <w:rFonts w:hint="eastAsia" w:ascii="仿宋_GB2312" w:hAnsi="仿宋_GB2312" w:cs="仿宋_GB2312"/>
          <w:b w:val="0"/>
          <w:bCs w:val="0"/>
          <w:i w:val="0"/>
          <w:iCs w:val="0"/>
          <w:caps w:val="0"/>
          <w:color w:val="auto"/>
          <w:spacing w:val="0"/>
          <w:sz w:val="32"/>
          <w:szCs w:val="32"/>
          <w:highlight w:val="none"/>
          <w:u w:val="none"/>
          <w:shd w:val="clear"/>
          <w:lang w:val="en-US" w:eastAsia="zh-CN"/>
        </w:rPr>
        <w:t>持续</w:t>
      </w:r>
      <w:r>
        <w:rPr>
          <w:rFonts w:hint="eastAsia" w:ascii="仿宋_GB2312" w:hAnsi="仿宋_GB2312" w:eastAsia="仿宋_GB2312" w:cs="仿宋_GB2312"/>
          <w:b w:val="0"/>
          <w:bCs w:val="0"/>
          <w:i w:val="0"/>
          <w:iCs w:val="0"/>
          <w:caps w:val="0"/>
          <w:color w:val="auto"/>
          <w:spacing w:val="0"/>
          <w:sz w:val="32"/>
          <w:szCs w:val="32"/>
          <w:highlight w:val="none"/>
          <w:u w:val="none"/>
          <w:shd w:val="clear"/>
        </w:rPr>
        <w:t>推进环境污染防治</w:t>
      </w:r>
      <w:r>
        <w:rPr>
          <w:rFonts w:hint="eastAsia" w:ascii="仿宋_GB2312" w:hAnsi="仿宋_GB2312" w:cs="仿宋_GB2312"/>
          <w:b w:val="0"/>
          <w:bCs w:val="0"/>
          <w:i w:val="0"/>
          <w:iCs w:val="0"/>
          <w:caps w:val="0"/>
          <w:color w:val="auto"/>
          <w:spacing w:val="0"/>
          <w:sz w:val="32"/>
          <w:szCs w:val="32"/>
          <w:highlight w:val="none"/>
          <w:u w:val="none"/>
          <w:shd w:val="clear"/>
          <w:lang w:eastAsia="zh-CN"/>
        </w:rPr>
        <w:t>，</w:t>
      </w:r>
      <w:r>
        <w:rPr>
          <w:rFonts w:hint="eastAsia" w:ascii="仿宋_GB2312" w:hAnsi="仿宋_GB2312" w:eastAsia="仿宋_GB2312" w:cs="仿宋_GB2312"/>
          <w:b w:val="0"/>
          <w:bCs w:val="0"/>
          <w:i w:val="0"/>
          <w:iCs w:val="0"/>
          <w:caps w:val="0"/>
          <w:color w:val="auto"/>
          <w:spacing w:val="0"/>
          <w:sz w:val="32"/>
          <w:szCs w:val="32"/>
          <w:highlight w:val="none"/>
          <w:u w:val="none"/>
          <w:shd w:val="clear"/>
        </w:rPr>
        <w:t>打好蓝天、碧水、净土保卫战</w:t>
      </w:r>
      <w:r>
        <w:rPr>
          <w:rFonts w:hint="eastAsia" w:cs="仿宋_GB2312"/>
          <w:b w:val="0"/>
          <w:bCs w:val="0"/>
          <w:i w:val="0"/>
          <w:iCs w:val="0"/>
          <w:caps w:val="0"/>
          <w:color w:val="auto"/>
          <w:spacing w:val="0"/>
          <w:sz w:val="32"/>
          <w:szCs w:val="32"/>
          <w:highlight w:val="none"/>
          <w:u w:val="none"/>
          <w:shd w:val="clear"/>
          <w:lang w:eastAsia="zh-CN"/>
        </w:rPr>
        <w:t>，</w:t>
      </w:r>
      <w:r>
        <w:rPr>
          <w:rFonts w:hint="eastAsia" w:cs="仿宋_GB2312"/>
          <w:b w:val="0"/>
          <w:bCs w:val="0"/>
          <w:i w:val="0"/>
          <w:iCs w:val="0"/>
          <w:caps w:val="0"/>
          <w:color w:val="auto"/>
          <w:spacing w:val="0"/>
          <w:sz w:val="32"/>
          <w:szCs w:val="32"/>
          <w:highlight w:val="none"/>
          <w:u w:val="none"/>
          <w:shd w:val="clear"/>
          <w:lang w:val="en-US" w:eastAsia="zh-CN"/>
        </w:rPr>
        <w:t>全面推进新污染物防治，健全</w:t>
      </w:r>
      <w:r>
        <w:rPr>
          <w:rFonts w:hint="eastAsia"/>
          <w:color w:val="auto"/>
          <w:kern w:val="2"/>
          <w:szCs w:val="32"/>
          <w:highlight w:val="none"/>
        </w:rPr>
        <w:t>环境治理体制机制</w:t>
      </w:r>
      <w:r>
        <w:rPr>
          <w:rFonts w:hint="eastAsia"/>
          <w:color w:val="auto"/>
          <w:kern w:val="2"/>
          <w:szCs w:val="32"/>
          <w:highlight w:val="none"/>
          <w:lang w:eastAsia="zh-CN"/>
        </w:rPr>
        <w:t>。</w:t>
      </w:r>
    </w:p>
    <w:p w14:paraId="0A87A4A2">
      <w:pPr>
        <w:numPr>
          <w:ilvl w:val="0"/>
          <w:numId w:val="0"/>
        </w:numPr>
        <w:shd w:val="clear"/>
        <w:ind w:firstLine="640" w:firstLineChars="200"/>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（一）加强大气污染防治。</w:t>
      </w:r>
      <w:r>
        <w:rPr>
          <w:rFonts w:hint="eastAsia" w:ascii="仿宋_GB2312" w:eastAsia="仿宋_GB2312"/>
          <w:color w:val="auto"/>
          <w:sz w:val="32"/>
          <w:szCs w:val="32"/>
          <w:highlight w:val="none"/>
          <w:lang w:val="en-US" w:eastAsia="zh-CN"/>
        </w:rPr>
        <w:t>推进美丽蓝天建设，深化源头协同防控，强化细颗粒物与臭氧协同控制，持续推进煤改气、煤改电。</w:t>
      </w:r>
      <w:r>
        <w:rPr>
          <w:rFonts w:hint="eastAsia"/>
          <w:color w:val="auto"/>
          <w:kern w:val="2"/>
          <w:szCs w:val="32"/>
          <w:highlight w:val="none"/>
          <w:lang w:val="en-US" w:eastAsia="zh-CN"/>
        </w:rPr>
        <w:t>强化重点领域治理，深化工业窑炉和挥发性有机物整治，全面推进扬尘精细化管控，加强餐饮油烟、散煤、农业氨等面源治理，推进移动源“车油路”精细化管控及更新替代。完善应急联防体系，强化区域联防联控，有效应对重污染天气，建立健全高效环境应急反应机制。</w:t>
      </w:r>
    </w:p>
    <w:p w14:paraId="60C20657">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（二）全面提升水环境质量。</w:t>
      </w:r>
      <w:r>
        <w:rPr>
          <w:rFonts w:hint="eastAsia"/>
          <w:color w:val="auto"/>
          <w:kern w:val="2"/>
          <w:szCs w:val="32"/>
          <w:highlight w:val="none"/>
          <w:lang w:val="en-US" w:eastAsia="zh-CN"/>
        </w:rPr>
        <w:t>深化流域系统治理，立足黄河生态屏障，健全河湖长制责任体系，推进徒骇河、大寺河流域综合治理，巩固“两清零、一提标”成效，加强滩区污染防治，实施重点河流生态护岸改造及清淤疏浚。严控工农业水污染，加强工业废水监管与达标排放，推进工业园区污水集中处理设施升级改造，落实特别排放限值。开展农田退水污染综合治理，加强农业面源污染防治。保障饮用水源安全，加大水源保护区环境整治力度，实施水源地安全保障达标建设，科学划定并保护地下水重点防治区，实施地下水超采综合治理。强化入河排污口“一口一策”整治，保障国控断面水质稳定达标。</w:t>
      </w:r>
      <w:r>
        <w:rPr>
          <w:rFonts w:hint="eastAsia" w:ascii="仿宋_GB2312" w:eastAsia="仿宋_GB2312"/>
          <w:color w:val="auto"/>
          <w:sz w:val="32"/>
          <w:szCs w:val="32"/>
          <w:highlight w:val="none"/>
          <w:lang w:val="en-US" w:eastAsia="zh-CN"/>
        </w:rPr>
        <w:t>创新监管体系，推行非现场监管手段与体检式执法帮扶相结合，强化重点企业全流程管控，筑牢黄河流域生态保护核心区防线。</w:t>
      </w:r>
    </w:p>
    <w:p w14:paraId="65906919">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（三）严守土壤环境安全底线。</w:t>
      </w:r>
      <w:r>
        <w:rPr>
          <w:rFonts w:hint="eastAsia"/>
          <w:color w:val="auto"/>
          <w:kern w:val="2"/>
          <w:szCs w:val="32"/>
          <w:highlight w:val="none"/>
          <w:lang w:val="en-US" w:eastAsia="zh-CN"/>
        </w:rPr>
        <w:t>强化土壤污染防控，建立完善土壤环境监测网络，开展农用地土壤污染来源排查整治，加快推进农业面源污染治理项目，实施保护性耕作与安全利用措施，开展农药化肥减量行动，加强建设用地土壤污染风险管控与修复。提升固废治理水平，以危险废物为重点强化工业固废全过程监管，全面实行生活垃圾分类，推进全域“无废城市”建设，加强建筑垃圾等大宗固废综合利用，深化农林废弃物资源化利用。健全回收利用体系，完善废弃农膜、农药包装等废弃物回收网络建设。</w:t>
      </w:r>
    </w:p>
    <w:p w14:paraId="5A3E0438">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（四）加强新污染物治理。</w:t>
      </w:r>
      <w:r>
        <w:rPr>
          <w:rFonts w:hint="eastAsia"/>
          <w:color w:val="auto"/>
          <w:kern w:val="2"/>
          <w:szCs w:val="32"/>
          <w:highlight w:val="none"/>
          <w:lang w:val="en-US" w:eastAsia="zh-CN"/>
        </w:rPr>
        <w:t>坚持预防为主、综合治理，系统构建新污染物调查评估、风险管控与绿色替代协同治理体系。结合全区产业特点，聚焦重点行业、园区和饮用水源地，开展持久性有机污染物等典型新污染物的筛查监测与溯源研究。强化产业准入与清洁生产审核，推动有毒有害化学物质的绿色替代和减排增效。建立新污染物筛查、评估、管控体系，对重点新污染物实施“一品一策”管控措施。提升危险废物、核与辐射等安全监管水平，确保环境安全。健全新污染物治理跨部门协作机制，提升风险预警与应急处理能力，切实保障区域生态环境安全与公众健康。</w:t>
      </w:r>
    </w:p>
    <w:p w14:paraId="2A7237E5">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（五）完善环境治理体制机制。</w:t>
      </w:r>
      <w:r>
        <w:rPr>
          <w:rFonts w:hint="eastAsia"/>
          <w:color w:val="auto"/>
          <w:kern w:val="2"/>
          <w:szCs w:val="32"/>
          <w:highlight w:val="none"/>
          <w:lang w:val="en-US" w:eastAsia="zh-CN"/>
        </w:rPr>
        <w:t>严格项目准入，严禁审批不符合生态保护要求的建设项目。严控高污染、高耗能项目盲目发展，严控“两高”项目。提升气候适应与人工影响天气能力，完善气象监测预警与应急服务体系，扎实做好气象灾害防御，科学开展黄河流域（济阳段）生态气候评估与保护工作。强化对黄河流域生态保护和高质量发展有关问题的整改督导与成果巩固，建立健全跨部门协调联动与常态化督导机制。</w:t>
      </w:r>
    </w:p>
    <w:p w14:paraId="4BE351D3">
      <w:pPr>
        <w:rPr>
          <w:rFonts w:hint="eastAsia"/>
          <w:color w:val="auto"/>
          <w:kern w:val="2"/>
          <w:szCs w:val="32"/>
          <w:highlight w:val="none"/>
          <w:lang w:val="en-US" w:eastAsia="zh-CN"/>
        </w:rPr>
      </w:pPr>
      <w:r>
        <w:rPr>
          <w:rFonts w:hint="eastAsia"/>
          <w:color w:val="auto"/>
          <w:kern w:val="2"/>
          <w:szCs w:val="32"/>
          <w:highlight w:val="none"/>
          <w:lang w:val="en-US" w:eastAsia="zh-CN"/>
        </w:rPr>
        <w:br w:type="page"/>
      </w:r>
    </w:p>
    <w:p w14:paraId="3F287F3B">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p>
    <w:p w14:paraId="2B236485">
      <w:pPr>
        <w:keepNext w:val="0"/>
        <w:keepLines w:val="0"/>
        <w:pageBreakBefore w:val="0"/>
        <w:widowControl w:val="0"/>
        <w:shd w:val="clear"/>
        <w:kinsoku/>
        <w:wordWrap/>
        <w:overflowPunct w:val="0"/>
        <w:topLinePunct w:val="0"/>
        <w:autoSpaceDE/>
        <w:autoSpaceDN/>
        <w:bidi w:val="0"/>
        <w:adjustRightInd/>
        <w:snapToGrid/>
        <w:spacing w:before="157" w:beforeLines="50" w:after="157" w:afterLines="50" w:line="600" w:lineRule="exact"/>
        <w:ind w:left="0" w:leftChars="0" w:right="0" w:rightChars="0" w:firstLine="0" w:firstLineChars="0"/>
        <w:jc w:val="center"/>
        <w:textAlignment w:val="auto"/>
        <w:outlineLvl w:val="0"/>
        <w:rPr>
          <w:rFonts w:hint="eastAsia" w:ascii="方正小标宋简体" w:hAnsi="方正小标宋简体" w:eastAsia="方正小标宋简体" w:cs="方正小标宋简体"/>
          <w:color w:val="auto"/>
          <w:kern w:val="2"/>
          <w:szCs w:val="24"/>
          <w:highlight w:val="none"/>
          <w:lang w:val="en-US" w:eastAsia="zh-CN"/>
        </w:rPr>
      </w:pPr>
      <w:bookmarkStart w:id="365" w:name="_Toc6932"/>
      <w:bookmarkStart w:id="366" w:name="_Toc5822"/>
      <w:bookmarkStart w:id="367" w:name="_Toc3655"/>
      <w:bookmarkStart w:id="368" w:name="_Toc29614"/>
      <w:bookmarkStart w:id="369" w:name="_Toc31481"/>
      <w:bookmarkStart w:id="370" w:name="_Toc17801"/>
      <w:bookmarkStart w:id="371" w:name="_Toc28690"/>
      <w:bookmarkStart w:id="372" w:name="_Toc59"/>
      <w:bookmarkStart w:id="373" w:name="_Toc7083"/>
      <w:r>
        <w:rPr>
          <w:rFonts w:hint="eastAsia" w:ascii="方正小标宋简体" w:hAnsi="方正小标宋简体" w:eastAsia="方正小标宋简体" w:cs="方正小标宋简体"/>
          <w:color w:val="auto"/>
          <w:kern w:val="2"/>
          <w:szCs w:val="24"/>
          <w:highlight w:val="none"/>
          <w:lang w:val="en-US" w:eastAsia="zh-CN"/>
        </w:rPr>
        <w:t>第十章  推动文化繁荣兴盛，打造黄河流域区域文化展示区</w:t>
      </w:r>
      <w:bookmarkEnd w:id="365"/>
      <w:bookmarkEnd w:id="366"/>
    </w:p>
    <w:p w14:paraId="0F7CFC61">
      <w:pPr>
        <w:keepNext w:val="0"/>
        <w:keepLines w:val="0"/>
        <w:pageBreakBefore w:val="0"/>
        <w:widowControl w:val="0"/>
        <w:numPr>
          <w:ilvl w:val="0"/>
          <w:numId w:val="0"/>
        </w:numPr>
        <w:suppressLineNumbers w:val="0"/>
        <w:shd w:val="clear"/>
        <w:kinsoku/>
        <w:wordWrap/>
        <w:overflowPunct w:val="0"/>
        <w:topLinePunct w:val="0"/>
        <w:autoSpaceDE/>
        <w:autoSpaceDN/>
        <w:bidi w:val="0"/>
        <w:adjustRightInd/>
        <w:snapToGrid/>
        <w:spacing w:afterAutospacing="0" w:line="600" w:lineRule="exact"/>
        <w:ind w:left="0" w:leftChars="0" w:firstLine="640" w:firstLineChars="200"/>
        <w:jc w:val="both"/>
        <w:textAlignment w:val="auto"/>
        <w:outlineLvl w:val="9"/>
        <w:rPr>
          <w:rFonts w:hint="eastAsia"/>
          <w:color w:val="auto"/>
          <w:highlight w:val="none"/>
          <w:lang w:val="en-US" w:eastAsia="zh-CN"/>
        </w:rPr>
      </w:pPr>
      <w:r>
        <w:rPr>
          <w:rFonts w:hint="eastAsia"/>
          <w:color w:val="auto"/>
          <w:kern w:val="2"/>
          <w:szCs w:val="32"/>
          <w:highlight w:val="none"/>
          <w:lang w:val="en-US" w:eastAsia="zh-CN"/>
        </w:rPr>
        <w:t>坚持以文兴区、以文塑区，聚焦“一河一线一新区”城市IP，擦亮黄河文化、闻韶文化、红色文化及“济北手造”特色品牌，以文化赋能区域高质量发展，打造底蕴深厚、繁荣兴盛的文化济阳，不断提升济阳在黄河流域的文化影响力</w:t>
      </w:r>
      <w:r>
        <w:rPr>
          <w:rFonts w:hint="eastAsia" w:ascii="仿宋_GB2312" w:hAnsi="仿宋_GB2312" w:eastAsia="仿宋_GB2312" w:cs="仿宋_GB2312"/>
          <w:b w:val="0"/>
          <w:bCs w:val="0"/>
          <w:color w:val="auto"/>
          <w:kern w:val="2"/>
          <w:sz w:val="32"/>
          <w:szCs w:val="32"/>
          <w:highlight w:val="none"/>
          <w:lang w:val="en-US" w:eastAsia="zh-CN" w:bidi="ar-SA"/>
          <w14:ligatures w14:val="none"/>
        </w:rPr>
        <w:t>。</w:t>
      </w:r>
    </w:p>
    <w:p w14:paraId="1A0484A0">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374" w:name="_Toc23252"/>
      <w:bookmarkStart w:id="375" w:name="_Toc13022"/>
      <w:r>
        <w:rPr>
          <w:rFonts w:hint="eastAsia" w:ascii="黑体" w:hAnsi="黑体" w:eastAsia="黑体" w:cs="黑体"/>
          <w:color w:val="auto"/>
          <w:highlight w:val="none"/>
          <w:lang w:val="en-US" w:eastAsia="zh-CN"/>
        </w:rPr>
        <w:t>一、强化社会主义先进文化引领</w:t>
      </w:r>
      <w:bookmarkEnd w:id="374"/>
      <w:bookmarkEnd w:id="375"/>
    </w:p>
    <w:p w14:paraId="6BA26F5E">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color w:val="auto"/>
          <w:kern w:val="2"/>
          <w:szCs w:val="32"/>
          <w:highlight w:val="none"/>
          <w:lang w:val="en-US" w:eastAsia="zh-CN"/>
        </w:rPr>
        <w:t>强化理想信念教育，推动社会主义核心价值观融入法治建设、社会发展、日常生活，倡树新时代美德健康生活方式，持续深化移风易俗，打造“和融济阳”价值品牌，建设新时代美德济阳。</w:t>
      </w:r>
    </w:p>
    <w:p w14:paraId="39F11C71">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（一）增强先进理论凝聚力。</w:t>
      </w:r>
      <w:r>
        <w:rPr>
          <w:rFonts w:hint="eastAsia"/>
          <w:color w:val="auto"/>
          <w:kern w:val="2"/>
          <w:szCs w:val="32"/>
          <w:highlight w:val="none"/>
          <w:lang w:val="en-US" w:eastAsia="zh-CN"/>
        </w:rPr>
        <w:t>坚持把宣传思想文化工作摆在重要位置，以学习习近平新时代中国特色社会主义思想为核心，深化理论武装并贯穿文化建设始终。健全常态化学习机制，广泛组织开展分众化、对象化的群众性宣传宣讲活动，不断提升理论宣传宣讲的吸引力、感染力和实效性。通过策划发展专题报道、制作民生暖心事系列视频等，讲好济阳产业升级、城乡蝶变的发展故事，推动先进思想理念深入人心，为文化事业发展筑牢坚实思想根基。</w:t>
      </w:r>
    </w:p>
    <w:p w14:paraId="424FEB76">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楷体_GB2312" w:hAnsi="楷体_GB2312" w:eastAsia="楷体_GB2312" w:cs="楷体_GB2312"/>
          <w:b w:val="0"/>
          <w:bCs w:val="0"/>
          <w:color w:val="auto"/>
          <w:spacing w:val="0"/>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（二）营造积极向上的文化氛围。</w:t>
      </w:r>
      <w:r>
        <w:rPr>
          <w:rFonts w:hint="eastAsia"/>
          <w:color w:val="auto"/>
          <w:kern w:val="2"/>
          <w:szCs w:val="32"/>
          <w:highlight w:val="none"/>
          <w:lang w:val="en-US" w:eastAsia="zh-CN"/>
        </w:rPr>
        <w:t>立足闻韶文化、黄河文化、红色文化底蕴，探索基层公共文化服务特色发展路径，着力培育具有广泛影响力的基层公共文化服务品牌。持续办好“村村有好戏”“两节四集四赛”等活动，结合“乡村文化振兴‘十送’服务”，不断丰富城乡群众精神文化生活。推动优质文化资源向基层倾斜，加强村（居）文化阵地管理，提升服务均等化水平。以现代传播方式活化闻韶台、刘台子遗址、陈罗战斗遗址等资源，打造“济阳@黄河”文化标识；以红色文化为引领，深入挖掘红色文化故事，建设红色文化设施，通过主题展览、公益培训等，激发群众参与热情。深化新时代廉洁文化建设，打造清廉济阳，营造健康文明的文化氛围。</w:t>
      </w:r>
    </w:p>
    <w:p w14:paraId="288402AC">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376" w:name="_Toc22996"/>
      <w:bookmarkStart w:id="377" w:name="_Toc21509"/>
      <w:r>
        <w:rPr>
          <w:rFonts w:hint="eastAsia" w:ascii="黑体" w:hAnsi="黑体" w:eastAsia="黑体" w:cs="黑体"/>
          <w:color w:val="auto"/>
          <w:highlight w:val="none"/>
          <w:lang w:val="en-US" w:eastAsia="zh-CN"/>
        </w:rPr>
        <w:t>二、加强公共文化产品和服务供给</w:t>
      </w:r>
      <w:bookmarkEnd w:id="376"/>
      <w:bookmarkEnd w:id="377"/>
    </w:p>
    <w:p w14:paraId="38BCC4F4">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color w:val="auto"/>
          <w:kern w:val="2"/>
          <w:szCs w:val="32"/>
          <w:highlight w:val="none"/>
          <w:lang w:val="en-US" w:eastAsia="zh-CN"/>
        </w:rPr>
        <w:t>持续做好文化服务和文化产品供给，推动公共文化服务社会化发展，健全社会力量参与公共文化服务机制，鼓励社会力量参与公共文化服务，形成政府、企业、社会组织共同参与的公共文化服务格局。</w:t>
      </w:r>
    </w:p>
    <w:p w14:paraId="35F0C976">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（一）推进公共文化设施全覆盖。</w:t>
      </w:r>
      <w:r>
        <w:rPr>
          <w:rFonts w:hint="eastAsia"/>
          <w:color w:val="auto"/>
          <w:kern w:val="2"/>
          <w:szCs w:val="32"/>
          <w:highlight w:val="none"/>
          <w:lang w:val="en-US" w:eastAsia="zh-CN"/>
        </w:rPr>
        <w:t>以构建“15分钟品质文化生活圈”为目标，统筹推进城乡公共文化设施建设。实施文化场馆能级提升工程，推动区文化馆、图书馆、美术馆等核心场馆改造升级。深化总分馆制建设，在街道（镇）综合文化站设立文化馆分馆、图书馆分馆，在村（居）建设“济阳书房”“文化驿站”等新型公共文化空间，形成中心馆、分馆、基层服务点三级联动网络。结合城市更新、乡村振兴，在文旅特色村嵌入非遗工坊、乡村戏台等设施，推动公共文化服务与文旅产业深度融合。</w:t>
      </w:r>
    </w:p>
    <w:p w14:paraId="679C435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（二）满足群众多元文化需求。</w:t>
      </w:r>
      <w:r>
        <w:rPr>
          <w:rFonts w:hint="eastAsia"/>
          <w:color w:val="auto"/>
          <w:kern w:val="2"/>
          <w:szCs w:val="32"/>
          <w:highlight w:val="none"/>
          <w:lang w:val="en-US" w:eastAsia="zh-CN"/>
        </w:rPr>
        <w:t>建立需求导向、精准供给的文化惠民机制，形成多层次供给体系。常态化开展“戏曲进乡村”等文化惠民活动。打造“济阳@黄河”文化艺术季，推出鼓子秧歌展演、黄河文化主题展览等沉浸式体验活动。实施文艺精品孵化工程，以闻韶台复建为文化纽带，联动济水韶音博物馆、三官庙汉墓博物馆等资源，创作一批反映黄河文化、闻韶文化的戏剧、美术、文学作品，力争作品入选省市级文艺精品扶持项目。谋划推进济阳区综合体育中心（含少儿体校训练中心），补齐公共体育设施短板，全面提升全民健身服务水平与青少年体质健康。</w:t>
      </w:r>
    </w:p>
    <w:p w14:paraId="73AECF2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（三）构建智慧文化服务生态。</w:t>
      </w:r>
      <w:r>
        <w:rPr>
          <w:rFonts w:hint="eastAsia"/>
          <w:color w:val="auto"/>
          <w:kern w:val="2"/>
          <w:szCs w:val="32"/>
          <w:highlight w:val="none"/>
          <w:lang w:val="en-US" w:eastAsia="zh-CN"/>
        </w:rPr>
        <w:t>构建云端和终端一体化的智慧化服务体系，整合场馆资源提供一站式服务，实现优质资源共建共享。实施文化场馆数字化改造工程，在区博物馆打造沉浸式数字体验空间。在区图书馆建设数字阅读区，提供智能检索、有声阅读等新型服务。提升基层数字服务能力，开展数字素养培训，让老年人、青少年等群体共享数字化发展成果。</w:t>
      </w:r>
    </w:p>
    <w:p w14:paraId="38AF1F0A">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378" w:name="_Toc30663"/>
      <w:bookmarkStart w:id="379" w:name="_Toc17765"/>
      <w:r>
        <w:rPr>
          <w:rFonts w:hint="eastAsia" w:ascii="黑体" w:hAnsi="黑体" w:eastAsia="黑体" w:cs="黑体"/>
          <w:color w:val="auto"/>
          <w:highlight w:val="none"/>
          <w:lang w:val="en-US" w:eastAsia="zh-CN"/>
        </w:rPr>
        <w:t>三、传承弘扬济阳文化</w:t>
      </w:r>
      <w:bookmarkEnd w:id="378"/>
      <w:bookmarkEnd w:id="379"/>
    </w:p>
    <w:p w14:paraId="324AF694">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仿宋_GB2312" w:eastAsia="仿宋_GB2312"/>
          <w:color w:val="auto"/>
          <w:kern w:val="2"/>
          <w:szCs w:val="32"/>
          <w:highlight w:val="none"/>
          <w:lang w:val="en-US" w:eastAsia="zh-CN"/>
        </w:rPr>
        <w:t>充分挖掘历史文化遗产的多重价值，加强对历史文化遗产的保护、管理、研究和利用，提升城市的文化品位和美誉度，推动经济效益、社会效益和生态效益相统一。</w:t>
      </w:r>
    </w:p>
    <w:p w14:paraId="788DBCFD">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（一）加强文物活化利用。</w:t>
      </w:r>
      <w:r>
        <w:rPr>
          <w:rFonts w:hint="eastAsia" w:ascii="仿宋_GB2312" w:eastAsia="仿宋_GB2312"/>
          <w:color w:val="auto"/>
          <w:kern w:val="2"/>
          <w:szCs w:val="32"/>
          <w:highlight w:val="none"/>
          <w:lang w:val="en-US" w:eastAsia="zh-CN"/>
        </w:rPr>
        <w:t>坚持“保护第一、加强管理、挖掘价值、有效利用、让文物活起来”的新时代文物工作方针，做好重点文保单位的保护利用，深入挖掘地域历史文化遗产。依托“文化</w:t>
      </w:r>
      <w:r>
        <w:rPr>
          <w:rFonts w:hint="eastAsia"/>
          <w:color w:val="auto"/>
          <w:kern w:val="2"/>
          <w:szCs w:val="32"/>
          <w:highlight w:val="none"/>
          <w:lang w:val="en-US" w:eastAsia="zh-CN"/>
        </w:rPr>
        <w:t>＋</w:t>
      </w:r>
      <w:r>
        <w:rPr>
          <w:rFonts w:hint="eastAsia" w:ascii="仿宋_GB2312" w:eastAsia="仿宋_GB2312"/>
          <w:color w:val="auto"/>
          <w:kern w:val="2"/>
          <w:szCs w:val="32"/>
          <w:highlight w:val="none"/>
          <w:lang w:val="en-US" w:eastAsia="zh-CN"/>
        </w:rPr>
        <w:t>科技”“数字</w:t>
      </w:r>
      <w:r>
        <w:rPr>
          <w:rFonts w:hint="eastAsia"/>
          <w:color w:val="auto"/>
          <w:kern w:val="2"/>
          <w:szCs w:val="32"/>
          <w:highlight w:val="none"/>
          <w:lang w:val="en-US" w:eastAsia="zh-CN"/>
        </w:rPr>
        <w:t>＋</w:t>
      </w:r>
      <w:r>
        <w:rPr>
          <w:rFonts w:hint="eastAsia" w:ascii="仿宋_GB2312" w:eastAsia="仿宋_GB2312"/>
          <w:color w:val="auto"/>
          <w:kern w:val="2"/>
          <w:szCs w:val="32"/>
          <w:highlight w:val="none"/>
          <w:lang w:val="en-US" w:eastAsia="zh-CN"/>
        </w:rPr>
        <w:t>文博”的深度融合，结合AR、AI等最新数字化呈现手段，积极探索文物展现形式，增强三官庙汉墓、卢氏旧居</w:t>
      </w:r>
      <w:r>
        <w:rPr>
          <w:rFonts w:hint="eastAsia"/>
          <w:color w:val="auto"/>
          <w:kern w:val="2"/>
          <w:szCs w:val="32"/>
          <w:highlight w:val="none"/>
          <w:lang w:val="en-US" w:eastAsia="zh-CN"/>
        </w:rPr>
        <w:t>、区</w:t>
      </w:r>
      <w:r>
        <w:rPr>
          <w:rFonts w:hint="eastAsia" w:ascii="仿宋_GB2312" w:eastAsia="仿宋_GB2312"/>
          <w:color w:val="auto"/>
          <w:kern w:val="2"/>
          <w:szCs w:val="32"/>
          <w:highlight w:val="none"/>
          <w:lang w:val="en-US" w:eastAsia="zh-CN"/>
        </w:rPr>
        <w:t>博物馆等</w:t>
      </w:r>
      <w:r>
        <w:rPr>
          <w:rFonts w:hint="eastAsia"/>
          <w:color w:val="auto"/>
          <w:kern w:val="2"/>
          <w:szCs w:val="32"/>
          <w:highlight w:val="none"/>
          <w:lang w:val="en-US" w:eastAsia="zh-CN"/>
        </w:rPr>
        <w:t>场所</w:t>
      </w:r>
      <w:r>
        <w:rPr>
          <w:rFonts w:hint="eastAsia" w:ascii="仿宋_GB2312" w:eastAsia="仿宋_GB2312"/>
          <w:color w:val="auto"/>
          <w:kern w:val="2"/>
          <w:szCs w:val="32"/>
          <w:highlight w:val="none"/>
          <w:lang w:val="en-US" w:eastAsia="zh-CN"/>
        </w:rPr>
        <w:t>的沉浸式体验感。探索建立非国有博物馆长效帮扶机制，提供长期的指导、培训和管理提升服务，打造国有博物馆和非国有博物馆联动新模式，让文物“活”起来、“火”起来。</w:t>
      </w:r>
    </w:p>
    <w:p w14:paraId="70BB89E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（二）推动文化遗产活化传承。</w:t>
      </w:r>
      <w:r>
        <w:rPr>
          <w:rFonts w:hint="eastAsia" w:ascii="仿宋_GB2312" w:eastAsia="仿宋_GB2312"/>
          <w:color w:val="auto"/>
          <w:kern w:val="2"/>
          <w:szCs w:val="32"/>
          <w:highlight w:val="none"/>
          <w:lang w:val="en-US" w:eastAsia="zh-CN"/>
        </w:rPr>
        <w:t>深入挖掘济阳特色文化资源，加强对当地历史名人的研究与宣传，加强与山东艺术设计职业学院合作，系统梳理闻韶文化、非遗文化</w:t>
      </w:r>
      <w:r>
        <w:rPr>
          <w:rFonts w:hint="eastAsia"/>
          <w:color w:val="auto"/>
          <w:kern w:val="2"/>
          <w:szCs w:val="32"/>
          <w:highlight w:val="none"/>
          <w:lang w:val="en-US" w:eastAsia="zh-CN"/>
        </w:rPr>
        <w:t>及</w:t>
      </w:r>
      <w:r>
        <w:rPr>
          <w:rFonts w:hint="eastAsia" w:ascii="仿宋_GB2312" w:eastAsia="仿宋_GB2312"/>
          <w:color w:val="auto"/>
          <w:kern w:val="2"/>
          <w:szCs w:val="32"/>
          <w:highlight w:val="none"/>
          <w:lang w:val="en-US" w:eastAsia="zh-CN"/>
        </w:rPr>
        <w:t>雕塑文化</w:t>
      </w:r>
      <w:r>
        <w:rPr>
          <w:rFonts w:hint="eastAsia"/>
          <w:color w:val="auto"/>
          <w:kern w:val="2"/>
          <w:szCs w:val="32"/>
          <w:highlight w:val="none"/>
          <w:lang w:val="en-US" w:eastAsia="zh-CN"/>
        </w:rPr>
        <w:t>，</w:t>
      </w:r>
      <w:r>
        <w:rPr>
          <w:rFonts w:hint="eastAsia" w:ascii="仿宋_GB2312" w:eastAsia="仿宋_GB2312"/>
          <w:color w:val="auto"/>
          <w:kern w:val="2"/>
          <w:szCs w:val="32"/>
          <w:highlight w:val="none"/>
          <w:lang w:val="en-US" w:eastAsia="zh-CN"/>
        </w:rPr>
        <w:t>整理富有文化内涵的故事，谋划制作以韶乐、张尔岐传说、鼓子秧歌等代表性故事为主题的舞台剧或沉浸式话剧，实现以文塑旅、以旅彰文。深化“非遗＋”，推动鼓子秧歌、黑陶等非遗项目进校园、社区、商场。依靠“济北手造”聚合非遗与文创，抱团发展，让传统老手艺变成共同富裕的“摇钱树”</w:t>
      </w:r>
      <w:r>
        <w:rPr>
          <w:rFonts w:hint="eastAsia"/>
          <w:color w:val="auto"/>
          <w:kern w:val="2"/>
          <w:szCs w:val="32"/>
          <w:highlight w:val="none"/>
          <w:lang w:val="en-US" w:eastAsia="zh-CN"/>
        </w:rPr>
        <w:t>。</w:t>
      </w:r>
    </w:p>
    <w:p w14:paraId="753F1F6C">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（三）建立多元化对外传播矩阵。</w:t>
      </w:r>
      <w:r>
        <w:rPr>
          <w:rFonts w:hint="eastAsia" w:ascii="仿宋_GB2312" w:eastAsia="仿宋_GB2312"/>
          <w:color w:val="auto"/>
          <w:kern w:val="2"/>
          <w:szCs w:val="32"/>
          <w:highlight w:val="none"/>
          <w:lang w:val="en-US" w:eastAsia="zh-CN"/>
        </w:rPr>
        <w:t>用好区属融媒体矩阵，深化与中央和省市级权威媒体协作联动，广泛开展立体化宣传报道，全面彰显济阳文化魅力。加强区域文化交流，扩大闻韶文化周边辐射力。主动融入</w:t>
      </w:r>
      <w:r>
        <w:rPr>
          <w:rFonts w:hint="eastAsia"/>
          <w:color w:val="auto"/>
          <w:kern w:val="2"/>
          <w:szCs w:val="32"/>
          <w:highlight w:val="none"/>
          <w:lang w:val="en-US" w:eastAsia="zh-CN"/>
        </w:rPr>
        <w:t>黄河流域生态保护和高质量发展</w:t>
      </w:r>
      <w:r>
        <w:rPr>
          <w:rFonts w:hint="eastAsia" w:ascii="仿宋_GB2312" w:eastAsia="仿宋_GB2312"/>
          <w:color w:val="auto"/>
          <w:kern w:val="2"/>
          <w:szCs w:val="32"/>
          <w:highlight w:val="none"/>
          <w:lang w:val="en-US" w:eastAsia="zh-CN"/>
        </w:rPr>
        <w:t>战略，构建联盟共建、数字互通的跨区域合作格局。推动济阳黑陶、鼓子秧歌等文化符号纳入黄河文化核心展示体系。策划“黄河文化体验之旅”精品线路。深化非遗出海工程，依托青岛国际啤酒节、济南国际泉水节等平台，设立济阳非遗专区，推动济阳黑陶等特色产品进入国际市场</w:t>
      </w:r>
      <w:r>
        <w:rPr>
          <w:rFonts w:hint="eastAsia"/>
          <w:color w:val="auto"/>
          <w:kern w:val="2"/>
          <w:szCs w:val="32"/>
          <w:highlight w:val="none"/>
          <w:lang w:val="en-US" w:eastAsia="zh-CN"/>
        </w:rPr>
        <w:t>。</w:t>
      </w:r>
      <w:bookmarkStart w:id="380" w:name="_Toc7944"/>
    </w:p>
    <w:p w14:paraId="4A1CE473">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四、提升文化产业竞争力</w:t>
      </w:r>
      <w:bookmarkEnd w:id="380"/>
    </w:p>
    <w:p w14:paraId="37B643B5">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仿宋_GB2312" w:eastAsia="仿宋_GB2312"/>
          <w:color w:val="auto"/>
          <w:kern w:val="2"/>
          <w:szCs w:val="32"/>
          <w:highlight w:val="none"/>
          <w:lang w:val="en-US" w:eastAsia="zh-CN"/>
        </w:rPr>
        <w:t>探索文化与科技融合的有效机制，促进文化创新的跨界融合，推动文化和旅游、体育、商业等行业的深度融合，发展创意农业、工业旅游、首发经济等文化消费新场景。</w:t>
      </w:r>
    </w:p>
    <w:p w14:paraId="2F97683A">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（一）做大做强文化产业。</w:t>
      </w:r>
      <w:r>
        <w:rPr>
          <w:rFonts w:hint="eastAsia"/>
          <w:color w:val="auto"/>
          <w:kern w:val="2"/>
          <w:szCs w:val="32"/>
          <w:highlight w:val="none"/>
        </w:rPr>
        <w:t>聚焦</w:t>
      </w:r>
      <w:r>
        <w:rPr>
          <w:rFonts w:hint="eastAsia" w:eastAsia="仿宋_GB2312"/>
          <w:color w:val="auto"/>
          <w:kern w:val="2"/>
          <w:szCs w:val="32"/>
          <w:highlight w:val="none"/>
          <w:lang w:eastAsia="zh-CN"/>
        </w:rPr>
        <w:t>“</w:t>
      </w:r>
      <w:r>
        <w:rPr>
          <w:rFonts w:hint="eastAsia"/>
          <w:color w:val="auto"/>
          <w:kern w:val="2"/>
          <w:szCs w:val="32"/>
          <w:highlight w:val="none"/>
        </w:rPr>
        <w:t>孔子闻韶</w:t>
      </w:r>
      <w:r>
        <w:rPr>
          <w:rFonts w:hint="eastAsia" w:eastAsia="仿宋_GB2312"/>
          <w:color w:val="auto"/>
          <w:kern w:val="2"/>
          <w:szCs w:val="32"/>
          <w:highlight w:val="none"/>
          <w:lang w:eastAsia="zh-CN"/>
        </w:rPr>
        <w:t>”“</w:t>
      </w:r>
      <w:r>
        <w:rPr>
          <w:rFonts w:hint="eastAsia"/>
          <w:color w:val="auto"/>
          <w:kern w:val="2"/>
          <w:szCs w:val="32"/>
          <w:highlight w:val="none"/>
        </w:rPr>
        <w:t>鼓子秧歌</w:t>
      </w:r>
      <w:r>
        <w:rPr>
          <w:rFonts w:hint="eastAsia" w:eastAsia="仿宋_GB2312"/>
          <w:color w:val="auto"/>
          <w:kern w:val="2"/>
          <w:szCs w:val="32"/>
          <w:highlight w:val="none"/>
          <w:lang w:eastAsia="zh-CN"/>
        </w:rPr>
        <w:t>”“</w:t>
      </w:r>
      <w:r>
        <w:rPr>
          <w:rFonts w:hint="eastAsia"/>
          <w:color w:val="auto"/>
          <w:kern w:val="2"/>
          <w:szCs w:val="32"/>
          <w:highlight w:val="none"/>
        </w:rPr>
        <w:t>名人文化</w:t>
      </w:r>
      <w:r>
        <w:rPr>
          <w:rFonts w:hint="eastAsia" w:eastAsia="仿宋_GB2312"/>
          <w:color w:val="auto"/>
          <w:kern w:val="2"/>
          <w:szCs w:val="32"/>
          <w:highlight w:val="none"/>
          <w:lang w:eastAsia="zh-CN"/>
        </w:rPr>
        <w:t>”</w:t>
      </w:r>
      <w:r>
        <w:rPr>
          <w:rFonts w:hint="eastAsia"/>
          <w:color w:val="auto"/>
          <w:kern w:val="2"/>
          <w:szCs w:val="32"/>
          <w:highlight w:val="none"/>
        </w:rPr>
        <w:t>等文化遗产，持续做好挖掘整理与转化利用工作。统筹推进</w:t>
      </w:r>
      <w:r>
        <w:rPr>
          <w:rFonts w:hint="eastAsia" w:eastAsia="仿宋_GB2312"/>
          <w:color w:val="auto"/>
          <w:kern w:val="2"/>
          <w:szCs w:val="32"/>
          <w:highlight w:val="none"/>
          <w:lang w:eastAsia="zh-CN"/>
        </w:rPr>
        <w:t>“</w:t>
      </w:r>
      <w:r>
        <w:rPr>
          <w:rFonts w:hint="eastAsia"/>
          <w:color w:val="auto"/>
          <w:kern w:val="2"/>
          <w:szCs w:val="32"/>
          <w:highlight w:val="none"/>
        </w:rPr>
        <w:t>韶乐与孔子闻韶</w:t>
      </w:r>
      <w:r>
        <w:rPr>
          <w:rFonts w:hint="eastAsia" w:eastAsia="仿宋_GB2312"/>
          <w:color w:val="auto"/>
          <w:kern w:val="2"/>
          <w:szCs w:val="32"/>
          <w:highlight w:val="none"/>
          <w:lang w:eastAsia="zh-CN"/>
        </w:rPr>
        <w:t>”</w:t>
      </w:r>
      <w:r>
        <w:rPr>
          <w:rFonts w:hint="eastAsia"/>
          <w:color w:val="auto"/>
          <w:kern w:val="2"/>
          <w:szCs w:val="32"/>
          <w:highlight w:val="none"/>
        </w:rPr>
        <w:t>深度挖掘弘扬与产业化发展、</w:t>
      </w:r>
      <w:r>
        <w:rPr>
          <w:rFonts w:hint="eastAsia" w:eastAsia="仿宋_GB2312"/>
          <w:color w:val="auto"/>
          <w:kern w:val="2"/>
          <w:szCs w:val="32"/>
          <w:highlight w:val="none"/>
          <w:lang w:eastAsia="zh-CN"/>
        </w:rPr>
        <w:t>“</w:t>
      </w:r>
      <w:r>
        <w:rPr>
          <w:rFonts w:hint="eastAsia"/>
          <w:color w:val="auto"/>
          <w:kern w:val="2"/>
          <w:szCs w:val="32"/>
          <w:highlight w:val="none"/>
        </w:rPr>
        <w:t>济北手造</w:t>
      </w:r>
      <w:r>
        <w:rPr>
          <w:rFonts w:hint="eastAsia" w:eastAsia="仿宋_GB2312"/>
          <w:color w:val="auto"/>
          <w:kern w:val="2"/>
          <w:szCs w:val="32"/>
          <w:highlight w:val="none"/>
          <w:lang w:eastAsia="zh-CN"/>
        </w:rPr>
        <w:t>”</w:t>
      </w:r>
      <w:r>
        <w:rPr>
          <w:rFonts w:hint="eastAsia"/>
          <w:color w:val="auto"/>
          <w:kern w:val="2"/>
          <w:szCs w:val="32"/>
          <w:highlight w:val="none"/>
        </w:rPr>
        <w:t>产业化发展、</w:t>
      </w:r>
      <w:r>
        <w:rPr>
          <w:rFonts w:hint="eastAsia" w:eastAsia="仿宋_GB2312"/>
          <w:color w:val="auto"/>
          <w:kern w:val="2"/>
          <w:szCs w:val="32"/>
          <w:highlight w:val="none"/>
          <w:lang w:eastAsia="zh-CN"/>
        </w:rPr>
        <w:t>“</w:t>
      </w:r>
      <w:r>
        <w:rPr>
          <w:rFonts w:hint="eastAsia"/>
          <w:color w:val="auto"/>
          <w:kern w:val="2"/>
          <w:szCs w:val="32"/>
          <w:highlight w:val="none"/>
        </w:rPr>
        <w:t>济阳鼓子秧歌</w:t>
      </w:r>
      <w:r>
        <w:rPr>
          <w:rFonts w:hint="eastAsia" w:eastAsia="仿宋_GB2312"/>
          <w:color w:val="auto"/>
          <w:kern w:val="2"/>
          <w:szCs w:val="32"/>
          <w:highlight w:val="none"/>
          <w:lang w:eastAsia="zh-CN"/>
        </w:rPr>
        <w:t>”</w:t>
      </w:r>
      <w:r>
        <w:rPr>
          <w:rFonts w:hint="eastAsia"/>
          <w:color w:val="auto"/>
          <w:kern w:val="2"/>
          <w:szCs w:val="32"/>
          <w:highlight w:val="none"/>
        </w:rPr>
        <w:t>与</w:t>
      </w:r>
      <w:r>
        <w:rPr>
          <w:rFonts w:hint="eastAsia" w:eastAsia="仿宋_GB2312"/>
          <w:color w:val="auto"/>
          <w:kern w:val="2"/>
          <w:szCs w:val="32"/>
          <w:highlight w:val="none"/>
          <w:lang w:eastAsia="zh-CN"/>
        </w:rPr>
        <w:t>“</w:t>
      </w:r>
      <w:r>
        <w:rPr>
          <w:rFonts w:hint="eastAsia"/>
          <w:color w:val="auto"/>
          <w:kern w:val="2"/>
          <w:szCs w:val="32"/>
          <w:highlight w:val="none"/>
        </w:rPr>
        <w:t>蒿庵文化</w:t>
      </w:r>
      <w:r>
        <w:rPr>
          <w:rFonts w:hint="eastAsia" w:eastAsia="仿宋_GB2312"/>
          <w:color w:val="auto"/>
          <w:kern w:val="2"/>
          <w:szCs w:val="32"/>
          <w:highlight w:val="none"/>
          <w:lang w:eastAsia="zh-CN"/>
        </w:rPr>
        <w:t>”</w:t>
      </w:r>
      <w:r>
        <w:rPr>
          <w:rFonts w:hint="eastAsia"/>
          <w:color w:val="auto"/>
          <w:kern w:val="2"/>
          <w:szCs w:val="32"/>
          <w:highlight w:val="none"/>
        </w:rPr>
        <w:t>传承发展等工作，推动优质传统文化资源向产业优势转化。做好文化产业招引、培育孵化与跟踪服务等工作，不断壮大优势文化</w:t>
      </w:r>
      <w:r>
        <w:rPr>
          <w:rFonts w:hint="eastAsia"/>
          <w:color w:val="auto"/>
          <w:kern w:val="2"/>
          <w:szCs w:val="32"/>
          <w:highlight w:val="none"/>
          <w:lang w:val="en-US" w:eastAsia="zh-CN"/>
        </w:rPr>
        <w:t>企业</w:t>
      </w:r>
      <w:r>
        <w:rPr>
          <w:rFonts w:hint="eastAsia"/>
          <w:color w:val="auto"/>
          <w:kern w:val="2"/>
          <w:szCs w:val="32"/>
          <w:highlight w:val="none"/>
        </w:rPr>
        <w:t>规模。大力发展数字出版、智能制造、数字演艺等数字文化产业，加快推进</w:t>
      </w:r>
      <w:r>
        <w:rPr>
          <w:rFonts w:hint="eastAsia" w:eastAsia="仿宋_GB2312"/>
          <w:color w:val="auto"/>
          <w:kern w:val="2"/>
          <w:szCs w:val="32"/>
          <w:highlight w:val="none"/>
          <w:lang w:eastAsia="zh-CN"/>
        </w:rPr>
        <w:t>“</w:t>
      </w:r>
      <w:r>
        <w:rPr>
          <w:rFonts w:hint="eastAsia"/>
          <w:color w:val="auto"/>
          <w:kern w:val="2"/>
          <w:szCs w:val="32"/>
          <w:highlight w:val="none"/>
        </w:rPr>
        <w:t>文化</w:t>
      </w:r>
      <w:r>
        <w:rPr>
          <w:rFonts w:hint="eastAsia"/>
          <w:color w:val="auto"/>
          <w:kern w:val="2"/>
          <w:szCs w:val="32"/>
          <w:highlight w:val="none"/>
          <w:lang w:eastAsia="zh-CN"/>
        </w:rPr>
        <w:t>＋</w:t>
      </w:r>
      <w:r>
        <w:rPr>
          <w:rFonts w:hint="eastAsia" w:eastAsia="仿宋_GB2312"/>
          <w:color w:val="auto"/>
          <w:kern w:val="2"/>
          <w:szCs w:val="32"/>
          <w:highlight w:val="none"/>
          <w:lang w:eastAsia="zh-CN"/>
        </w:rPr>
        <w:t>”</w:t>
      </w:r>
      <w:r>
        <w:rPr>
          <w:rFonts w:hint="eastAsia"/>
          <w:color w:val="auto"/>
          <w:kern w:val="2"/>
          <w:szCs w:val="32"/>
          <w:highlight w:val="none"/>
        </w:rPr>
        <w:t>相关产业融合发展，激发文旅商体消费潜力，不断构建产业结构优、市场竞争强的文化产业体系。</w:t>
      </w:r>
    </w:p>
    <w:p w14:paraId="3876C9C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楷体_GB2312" w:hAnsi="楷体_GB2312" w:eastAsia="楷体_GB2312" w:cs="楷体_GB2312"/>
          <w:b w:val="0"/>
          <w:bCs w:val="0"/>
          <w:color w:val="auto"/>
          <w:spacing w:val="0"/>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（二）塑强“</w:t>
      </w:r>
      <w:r>
        <w:rPr>
          <w:rFonts w:hint="eastAsia" w:ascii="楷体_GB2312" w:hAnsi="楷体_GB2312" w:eastAsia="楷体_GB2312" w:cs="楷体_GB2312"/>
          <w:color w:val="auto"/>
          <w:sz w:val="32"/>
          <w:szCs w:val="32"/>
          <w:highlight w:val="none"/>
          <w:lang w:val="en-US" w:eastAsia="zh-CN"/>
        </w:rPr>
        <w:t>品味四季 乐享济阳</w:t>
      </w:r>
      <w:r>
        <w:rPr>
          <w:rFonts w:hint="eastAsia" w:ascii="楷体_GB2312" w:hAnsi="楷体_GB2312" w:eastAsia="楷体_GB2312" w:cs="楷体_GB2312"/>
          <w:b w:val="0"/>
          <w:bCs w:val="0"/>
          <w:color w:val="auto"/>
          <w:spacing w:val="0"/>
          <w:sz w:val="32"/>
          <w:szCs w:val="32"/>
          <w:highlight w:val="none"/>
          <w:lang w:val="en-US" w:eastAsia="zh-CN"/>
        </w:rPr>
        <w:t>”文旅品牌。</w:t>
      </w:r>
      <w:r>
        <w:rPr>
          <w:rFonts w:hint="eastAsia"/>
          <w:color w:val="auto"/>
          <w:kern w:val="2"/>
          <w:szCs w:val="32"/>
          <w:highlight w:val="none"/>
        </w:rPr>
        <w:t>深化</w:t>
      </w:r>
      <w:r>
        <w:rPr>
          <w:rFonts w:hint="eastAsia" w:eastAsia="仿宋_GB2312"/>
          <w:color w:val="auto"/>
          <w:kern w:val="2"/>
          <w:szCs w:val="32"/>
          <w:highlight w:val="none"/>
          <w:lang w:eastAsia="zh-CN"/>
        </w:rPr>
        <w:t>“</w:t>
      </w:r>
      <w:r>
        <w:rPr>
          <w:rFonts w:hint="eastAsia"/>
          <w:color w:val="auto"/>
          <w:kern w:val="2"/>
          <w:szCs w:val="32"/>
          <w:highlight w:val="none"/>
          <w:lang w:eastAsia="zh-CN"/>
        </w:rPr>
        <w:t>＋</w:t>
      </w:r>
      <w:r>
        <w:rPr>
          <w:rFonts w:hint="eastAsia"/>
          <w:color w:val="auto"/>
          <w:kern w:val="2"/>
          <w:szCs w:val="32"/>
          <w:highlight w:val="none"/>
        </w:rPr>
        <w:t>研学游</w:t>
      </w:r>
      <w:r>
        <w:rPr>
          <w:rFonts w:hint="eastAsia" w:eastAsia="仿宋_GB2312"/>
          <w:color w:val="auto"/>
          <w:kern w:val="2"/>
          <w:szCs w:val="32"/>
          <w:highlight w:val="none"/>
          <w:lang w:eastAsia="zh-CN"/>
        </w:rPr>
        <w:t>”</w:t>
      </w:r>
      <w:r>
        <w:rPr>
          <w:rFonts w:hint="eastAsia"/>
          <w:color w:val="auto"/>
          <w:kern w:val="2"/>
          <w:szCs w:val="32"/>
          <w:highlight w:val="none"/>
        </w:rPr>
        <w:t>工程，加速研学游迭代升级，大力推动黄河文化、闻韶文化、农耕体验、食品工业等资源与研学游的深度融合，指导研学旅游基地建设规模化、精致化，不断提高济阳研学的吸引力。聚焦</w:t>
      </w:r>
      <w:r>
        <w:rPr>
          <w:rFonts w:hint="eastAsia" w:eastAsia="仿宋_GB2312"/>
          <w:color w:val="auto"/>
          <w:kern w:val="2"/>
          <w:szCs w:val="32"/>
          <w:highlight w:val="none"/>
          <w:lang w:eastAsia="zh-CN"/>
        </w:rPr>
        <w:t>“</w:t>
      </w:r>
      <w:r>
        <w:rPr>
          <w:rFonts w:hint="eastAsia"/>
          <w:color w:val="auto"/>
          <w:kern w:val="2"/>
          <w:szCs w:val="32"/>
          <w:highlight w:val="none"/>
        </w:rPr>
        <w:t>文旅＋</w:t>
      </w:r>
      <w:r>
        <w:rPr>
          <w:rFonts w:hint="eastAsia" w:eastAsia="仿宋_GB2312"/>
          <w:color w:val="auto"/>
          <w:kern w:val="2"/>
          <w:szCs w:val="32"/>
          <w:highlight w:val="none"/>
          <w:lang w:eastAsia="zh-CN"/>
        </w:rPr>
        <w:t>”“</w:t>
      </w:r>
      <w:r>
        <w:rPr>
          <w:rFonts w:hint="eastAsia"/>
          <w:color w:val="auto"/>
          <w:kern w:val="2"/>
          <w:szCs w:val="32"/>
          <w:highlight w:val="none"/>
        </w:rPr>
        <w:t>＋文旅</w:t>
      </w:r>
      <w:r>
        <w:rPr>
          <w:rFonts w:hint="eastAsia" w:eastAsia="仿宋_GB2312"/>
          <w:color w:val="auto"/>
          <w:kern w:val="2"/>
          <w:szCs w:val="32"/>
          <w:highlight w:val="none"/>
          <w:lang w:eastAsia="zh-CN"/>
        </w:rPr>
        <w:t>”</w:t>
      </w:r>
      <w:r>
        <w:rPr>
          <w:rFonts w:hint="eastAsia"/>
          <w:color w:val="auto"/>
          <w:kern w:val="2"/>
          <w:szCs w:val="32"/>
          <w:highlight w:val="none"/>
        </w:rPr>
        <w:t>，结合海峡两岸新旧动能转换产业合作区建设，串联全域旅游资源，提升啤酒音乐嘉年华等活动影响力，带动乡村旅游、康养旅游、工业旅游等业态发展，将节会活动流量转化为文旅消费</w:t>
      </w:r>
      <w:r>
        <w:rPr>
          <w:rFonts w:hint="eastAsia" w:eastAsia="仿宋_GB2312"/>
          <w:color w:val="auto"/>
          <w:kern w:val="2"/>
          <w:szCs w:val="32"/>
          <w:highlight w:val="none"/>
          <w:lang w:eastAsia="zh-CN"/>
        </w:rPr>
        <w:t>“</w:t>
      </w:r>
      <w:r>
        <w:rPr>
          <w:rFonts w:hint="eastAsia"/>
          <w:color w:val="auto"/>
          <w:kern w:val="2"/>
          <w:szCs w:val="32"/>
          <w:highlight w:val="none"/>
        </w:rPr>
        <w:t>留量</w:t>
      </w:r>
      <w:r>
        <w:rPr>
          <w:rFonts w:hint="eastAsia" w:eastAsia="仿宋_GB2312"/>
          <w:color w:val="auto"/>
          <w:kern w:val="2"/>
          <w:szCs w:val="32"/>
          <w:highlight w:val="none"/>
          <w:lang w:eastAsia="zh-CN"/>
        </w:rPr>
        <w:t>”</w:t>
      </w:r>
      <w:r>
        <w:rPr>
          <w:rFonts w:hint="eastAsia"/>
          <w:color w:val="auto"/>
          <w:kern w:val="2"/>
          <w:szCs w:val="32"/>
          <w:highlight w:val="none"/>
        </w:rPr>
        <w:t>。以黄河大堤景观带为基础，联动“黄河·稻乡湾”片区、研学旅游基地、文保单位、非遗</w:t>
      </w:r>
      <w:r>
        <w:rPr>
          <w:rFonts w:hint="eastAsia"/>
          <w:color w:val="auto"/>
          <w:kern w:val="2"/>
          <w:szCs w:val="32"/>
          <w:highlight w:val="none"/>
          <w:lang w:val="en-US" w:eastAsia="zh-CN"/>
        </w:rPr>
        <w:t>工</w:t>
      </w:r>
      <w:r>
        <w:rPr>
          <w:rFonts w:hint="eastAsia"/>
          <w:color w:val="auto"/>
          <w:kern w:val="2"/>
          <w:szCs w:val="32"/>
          <w:highlight w:val="none"/>
        </w:rPr>
        <w:t>坊和文博场馆等资源，策划沉浸式活动，打造沿黄文化生态旅游廊道，以文化底蕴支撑旅游品牌，以旅游传播彰显文化魅力，塑强兼具文化厚度与旅游活力的济阳文旅品牌。</w:t>
      </w:r>
    </w:p>
    <w:p w14:paraId="07CCDFB0">
      <w:pPr>
        <w:keepNext w:val="0"/>
        <w:keepLines w:val="0"/>
        <w:pageBreakBefore w:val="0"/>
        <w:widowControl w:val="0"/>
        <w:shd w:val="clear"/>
        <w:kinsoku/>
        <w:wordWrap/>
        <w:overflowPunct w:val="0"/>
        <w:topLinePunct w:val="0"/>
        <w:autoSpaceDE/>
        <w:autoSpaceDN/>
        <w:bidi w:val="0"/>
        <w:adjustRightInd w:val="0"/>
        <w:snapToGrid w:val="0"/>
        <w:spacing w:afterAutospacing="0"/>
        <w:ind w:firstLineChars="200"/>
        <w:jc w:val="both"/>
        <w:textAlignment w:val="auto"/>
        <w:outlineLvl w:val="9"/>
        <w:rPr>
          <w:rFonts w:hint="eastAsia" w:ascii="仿宋_GB2312" w:hAnsi="仿宋_GB2312" w:eastAsia="仿宋_GB2312"/>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（三）培育新型文化业态。</w:t>
      </w:r>
      <w:r>
        <w:rPr>
          <w:rFonts w:hint="eastAsia" w:ascii="仿宋_GB2312" w:hAnsi="仿宋_GB2312" w:eastAsia="仿宋_GB2312"/>
          <w:color w:val="auto"/>
          <w:kern w:val="2"/>
          <w:szCs w:val="32"/>
          <w:highlight w:val="none"/>
        </w:rPr>
        <w:t>聚焦项目外引内培，强化文化旅游领域招商引资力度，</w:t>
      </w:r>
      <w:r>
        <w:rPr>
          <w:rFonts w:hint="eastAsia" w:ascii="仿宋_GB2312" w:hAnsi="仿宋_GB2312" w:eastAsia="仿宋_GB2312"/>
          <w:color w:val="auto"/>
          <w:kern w:val="2"/>
          <w:szCs w:val="32"/>
          <w:highlight w:val="none"/>
          <w:lang w:val="en-US" w:eastAsia="zh-CN"/>
        </w:rPr>
        <w:t>加大对</w:t>
      </w:r>
      <w:r>
        <w:rPr>
          <w:rFonts w:hint="eastAsia" w:ascii="仿宋_GB2312" w:hAnsi="仿宋_GB2312" w:eastAsia="仿宋_GB2312"/>
          <w:color w:val="auto"/>
          <w:kern w:val="2"/>
          <w:szCs w:val="32"/>
          <w:highlight w:val="none"/>
        </w:rPr>
        <w:t>优质文旅项目招引</w:t>
      </w:r>
      <w:r>
        <w:rPr>
          <w:rFonts w:hint="eastAsia" w:ascii="仿宋_GB2312" w:hAnsi="仿宋_GB2312" w:eastAsia="仿宋_GB2312"/>
          <w:color w:val="auto"/>
          <w:kern w:val="2"/>
          <w:szCs w:val="32"/>
          <w:highlight w:val="none"/>
          <w:lang w:val="en-US" w:eastAsia="zh-CN"/>
        </w:rPr>
        <w:t>力度</w:t>
      </w:r>
      <w:r>
        <w:rPr>
          <w:rFonts w:hint="eastAsia" w:ascii="仿宋_GB2312" w:hAnsi="仿宋_GB2312" w:eastAsia="仿宋_GB2312"/>
          <w:color w:val="auto"/>
          <w:kern w:val="2"/>
          <w:szCs w:val="32"/>
          <w:highlight w:val="none"/>
        </w:rPr>
        <w:t>，</w:t>
      </w:r>
      <w:r>
        <w:rPr>
          <w:rFonts w:hint="eastAsia" w:ascii="仿宋_GB2312" w:hAnsi="仿宋_GB2312" w:eastAsia="仿宋_GB2312"/>
          <w:color w:val="auto"/>
          <w:kern w:val="2"/>
          <w:szCs w:val="32"/>
          <w:highlight w:val="none"/>
          <w:lang w:val="en-US" w:eastAsia="zh-CN"/>
        </w:rPr>
        <w:t>持续打造“九曲黄河万里情”文化IP，</w:t>
      </w:r>
      <w:r>
        <w:rPr>
          <w:rFonts w:hint="eastAsia" w:ascii="仿宋_GB2312" w:hAnsi="仿宋_GB2312" w:eastAsia="仿宋_GB2312"/>
          <w:color w:val="auto"/>
          <w:kern w:val="2"/>
          <w:szCs w:val="32"/>
          <w:highlight w:val="none"/>
        </w:rPr>
        <w:t>引进露营基地、民宿等配套项目，丰富文旅消费新业态，打造夜间文化消费集聚区，激活文旅经济发展引擎。培育本土文化企业，推动潜力企业“小升规”，壮大本土文化企业规模。规划“一村一韵”建设，培育一批“民宿村”“非遗村”等旅游特色村，指导符合条件的村庄、景区申报乡村旅游重点村优秀案例、</w:t>
      </w:r>
      <w:r>
        <w:rPr>
          <w:rFonts w:hint="eastAsia" w:ascii="仿宋_GB2312" w:hAnsi="仿宋_GB2312" w:eastAsia="仿宋_GB2312"/>
          <w:color w:val="auto"/>
          <w:kern w:val="2"/>
          <w:szCs w:val="32"/>
          <w:highlight w:val="none"/>
          <w:lang w:eastAsia="zh-CN"/>
        </w:rPr>
        <w:t>A级旅游景区</w:t>
      </w:r>
      <w:r>
        <w:rPr>
          <w:rFonts w:hint="eastAsia" w:ascii="仿宋_GB2312" w:hAnsi="仿宋_GB2312" w:eastAsia="仿宋_GB2312"/>
          <w:color w:val="auto"/>
          <w:kern w:val="2"/>
          <w:szCs w:val="32"/>
          <w:highlight w:val="none"/>
        </w:rPr>
        <w:t>。完善文旅基础保障，优化营商环境，为新型文化业态培育提供坚实支撑。</w:t>
      </w:r>
    </w:p>
    <w:p w14:paraId="093FFC6B">
      <w:pPr>
        <w:rPr>
          <w:rFonts w:hint="eastAsia" w:ascii="仿宋_GB2312" w:hAnsi="仿宋_GB2312" w:eastAsia="仿宋_GB2312"/>
          <w:color w:val="auto"/>
          <w:kern w:val="2"/>
          <w:szCs w:val="32"/>
          <w:highlight w:val="none"/>
        </w:rPr>
      </w:pPr>
      <w:r>
        <w:rPr>
          <w:rFonts w:hint="eastAsia" w:ascii="仿宋_GB2312" w:hAnsi="仿宋_GB2312" w:eastAsia="仿宋_GB2312"/>
          <w:color w:val="auto"/>
          <w:kern w:val="2"/>
          <w:szCs w:val="32"/>
          <w:highlight w:val="none"/>
        </w:rPr>
        <w:br w:type="page"/>
      </w:r>
    </w:p>
    <w:p w14:paraId="0CB7CE76">
      <w:pPr>
        <w:keepNext w:val="0"/>
        <w:keepLines w:val="0"/>
        <w:pageBreakBefore w:val="0"/>
        <w:widowControl w:val="0"/>
        <w:shd w:val="clear"/>
        <w:kinsoku/>
        <w:wordWrap/>
        <w:overflowPunct w:val="0"/>
        <w:topLinePunct w:val="0"/>
        <w:autoSpaceDE/>
        <w:autoSpaceDN/>
        <w:bidi w:val="0"/>
        <w:adjustRightInd w:val="0"/>
        <w:snapToGrid w:val="0"/>
        <w:spacing w:afterAutospacing="0"/>
        <w:ind w:firstLineChars="200"/>
        <w:jc w:val="both"/>
        <w:textAlignment w:val="auto"/>
        <w:outlineLvl w:val="9"/>
        <w:rPr>
          <w:rFonts w:hint="eastAsia" w:ascii="仿宋_GB2312" w:hAnsi="仿宋_GB2312" w:eastAsia="仿宋_GB2312"/>
          <w:color w:val="auto"/>
          <w:kern w:val="2"/>
          <w:szCs w:val="32"/>
          <w:highlight w:val="none"/>
        </w:rPr>
      </w:pPr>
    </w:p>
    <w:p w14:paraId="1BA574E7">
      <w:pPr>
        <w:keepNext w:val="0"/>
        <w:keepLines w:val="0"/>
        <w:pageBreakBefore w:val="0"/>
        <w:widowControl w:val="0"/>
        <w:shd w:val="clear"/>
        <w:kinsoku/>
        <w:wordWrap/>
        <w:overflowPunct w:val="0"/>
        <w:topLinePunct w:val="0"/>
        <w:autoSpaceDE/>
        <w:autoSpaceDN/>
        <w:bidi w:val="0"/>
        <w:adjustRightInd/>
        <w:snapToGrid/>
        <w:spacing w:before="157" w:beforeLines="50" w:after="157" w:afterLines="50" w:afterAutospacing="0" w:line="600" w:lineRule="exact"/>
        <w:ind w:left="0" w:leftChars="0" w:right="0" w:rightChars="0" w:firstLine="640" w:firstLineChars="200"/>
        <w:jc w:val="center"/>
        <w:textAlignment w:val="auto"/>
        <w:outlineLvl w:val="0"/>
        <w:rPr>
          <w:rFonts w:hint="eastAsia" w:ascii="方正小标宋简体" w:hAnsi="方正小标宋简体" w:eastAsia="方正小标宋简体" w:cs="方正小标宋简体"/>
          <w:color w:val="auto"/>
          <w:kern w:val="2"/>
          <w:szCs w:val="24"/>
          <w:highlight w:val="none"/>
          <w:lang w:val="en-US" w:eastAsia="zh-CN"/>
        </w:rPr>
      </w:pPr>
      <w:bookmarkStart w:id="381" w:name="_Toc17424"/>
      <w:bookmarkStart w:id="382" w:name="_Toc32630"/>
      <w:r>
        <w:rPr>
          <w:rFonts w:hint="eastAsia" w:ascii="方正小标宋简体" w:hAnsi="方正小标宋简体" w:eastAsia="方正小标宋简体" w:cs="方正小标宋简体"/>
          <w:color w:val="auto"/>
          <w:kern w:val="2"/>
          <w:szCs w:val="24"/>
          <w:highlight w:val="none"/>
          <w:lang w:val="en-US" w:eastAsia="zh-CN"/>
        </w:rPr>
        <w:t>第十一章  提升民生福祉水平，建设共享和谐宜居区</w:t>
      </w:r>
      <w:bookmarkEnd w:id="381"/>
      <w:bookmarkEnd w:id="382"/>
    </w:p>
    <w:p w14:paraId="6FF6C285">
      <w:pPr>
        <w:keepNext w:val="0"/>
        <w:keepLines w:val="0"/>
        <w:pageBreakBefore w:val="0"/>
        <w:widowControl w:val="0"/>
        <w:shd w:val="clear"/>
        <w:kinsoku/>
        <w:wordWrap/>
        <w:overflowPunct w:val="0"/>
        <w:topLinePunct w:val="0"/>
        <w:autoSpaceDE/>
        <w:autoSpaceDN/>
        <w:bidi w:val="0"/>
        <w:adjustRightInd/>
        <w:snapToGrid/>
        <w:spacing w:afterAutospacing="0"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color w:val="auto"/>
          <w:kern w:val="2"/>
          <w:szCs w:val="32"/>
          <w:highlight w:val="none"/>
          <w:lang w:val="en-US" w:eastAsia="zh-CN"/>
        </w:rPr>
        <w:t>适应全区群众对美好生活的新期待和人口发展新特征，坚持尽力而为、量力而行，统筹推进促进高质量充分就业、教育强区打造、健康济阳深化、多层次社会保障体系构建及全龄友好城区发展，聚焦普惠性、基础性、兜底性民生建设，织密扎牢覆盖城乡的民生保障网，满足群众多样化需求，全面提升民生福祉水平，共建共享和谐家园。</w:t>
      </w:r>
    </w:p>
    <w:p w14:paraId="3837BCBF">
      <w:pPr>
        <w:shd w:val="clear"/>
        <w:ind w:firstLine="640" w:firstLineChars="200"/>
        <w:outlineLvl w:val="1"/>
        <w:rPr>
          <w:rFonts w:hint="eastAsia" w:ascii="黑体" w:hAnsi="黑体" w:eastAsia="黑体" w:cs="黑体"/>
          <w:color w:val="auto"/>
          <w:sz w:val="32"/>
          <w:szCs w:val="32"/>
          <w:highlight w:val="none"/>
          <w:lang w:val="en-US" w:eastAsia="zh-CN"/>
        </w:rPr>
      </w:pPr>
      <w:bookmarkStart w:id="383" w:name="_Toc27833"/>
      <w:bookmarkStart w:id="384" w:name="_Toc27219"/>
      <w:r>
        <w:rPr>
          <w:rFonts w:hint="eastAsia" w:ascii="黑体" w:hAnsi="黑体" w:eastAsia="黑体" w:cs="黑体"/>
          <w:color w:val="auto"/>
          <w:sz w:val="32"/>
          <w:szCs w:val="32"/>
          <w:highlight w:val="none"/>
          <w:lang w:val="en-US" w:eastAsia="zh-CN"/>
        </w:rPr>
        <w:t>一、促进高质量充分就业</w:t>
      </w:r>
      <w:bookmarkEnd w:id="383"/>
      <w:bookmarkEnd w:id="384"/>
    </w:p>
    <w:p w14:paraId="2921B345">
      <w:pPr>
        <w:shd w:val="clear"/>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继续实施就业优先战略，千方百计扩大和稳定</w:t>
      </w:r>
      <w:r>
        <w:rPr>
          <w:rFonts w:hint="eastAsia" w:ascii="仿宋_GB2312" w:hAnsi="仿宋_GB2312" w:eastAsia="仿宋_GB2312" w:cs="仿宋_GB2312"/>
          <w:color w:val="auto"/>
          <w:sz w:val="32"/>
          <w:szCs w:val="32"/>
          <w:highlight w:val="none"/>
          <w:lang w:val="en-US" w:eastAsia="zh-CN"/>
        </w:rPr>
        <w:t>就业</w:t>
      </w:r>
      <w:r>
        <w:rPr>
          <w:rFonts w:hint="eastAsia" w:ascii="仿宋_GB2312" w:hAnsi="仿宋_GB2312" w:eastAsia="仿宋_GB2312" w:cs="仿宋_GB2312"/>
          <w:color w:val="auto"/>
          <w:sz w:val="32"/>
          <w:szCs w:val="32"/>
          <w:highlight w:val="none"/>
          <w:lang w:eastAsia="zh-CN"/>
        </w:rPr>
        <w:t>，强化重点领域、重点行业、城乡基层和中小微企业就业支持，提升就业服务质效。</w:t>
      </w:r>
    </w:p>
    <w:p w14:paraId="592D6CAA">
      <w:pPr>
        <w:shd w:val="clear"/>
        <w:ind w:firstLine="640" w:firstLineChars="200"/>
        <w:rPr>
          <w:rFonts w:hint="eastAsia" w:ascii="仿宋_GB2312" w:hAnsi="仿宋_GB2312" w:eastAsia="仿宋_GB2312" w:cs="仿宋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一</w:t>
      </w:r>
      <w:r>
        <w:rPr>
          <w:rFonts w:hint="eastAsia" w:ascii="楷体_GB2312" w:hAnsi="楷体_GB2312" w:eastAsia="楷体_GB2312" w:cs="楷体_GB2312"/>
          <w:color w:val="auto"/>
          <w:sz w:val="32"/>
          <w:szCs w:val="32"/>
          <w:highlight w:val="none"/>
          <w:lang w:eastAsia="zh-CN"/>
        </w:rPr>
        <w:t>）完善公共就业政策体系。</w:t>
      </w:r>
      <w:r>
        <w:rPr>
          <w:rFonts w:hint="eastAsia" w:ascii="仿宋_GB2312" w:hAnsi="仿宋_GB2312" w:eastAsia="仿宋_GB2312" w:cs="仿宋_GB2312"/>
          <w:color w:val="auto"/>
          <w:sz w:val="32"/>
          <w:szCs w:val="32"/>
          <w:highlight w:val="none"/>
          <w:lang w:eastAsia="zh-CN"/>
        </w:rPr>
        <w:t>统筹全区就业工作，健全基本公共就业服务</w:t>
      </w:r>
      <w:r>
        <w:rPr>
          <w:rFonts w:hint="eastAsia" w:ascii="仿宋_GB2312" w:hAnsi="仿宋_GB2312" w:eastAsia="仿宋_GB2312" w:cs="仿宋_GB2312"/>
          <w:color w:val="auto"/>
          <w:sz w:val="32"/>
          <w:szCs w:val="32"/>
          <w:highlight w:val="none"/>
          <w:lang w:val="en-US" w:eastAsia="zh-CN"/>
        </w:rPr>
        <w:t>体系</w:t>
      </w:r>
      <w:r>
        <w:rPr>
          <w:rFonts w:hint="eastAsia" w:ascii="仿宋_GB2312" w:hAnsi="仿宋_GB2312" w:eastAsia="仿宋_GB2312" w:cs="仿宋_GB2312"/>
          <w:color w:val="auto"/>
          <w:sz w:val="32"/>
          <w:szCs w:val="32"/>
          <w:highlight w:val="none"/>
          <w:lang w:eastAsia="zh-CN"/>
        </w:rPr>
        <w:t>，保障城乡就业政策统一、服务共享、机会均等、条件公平。完善人力资源市场管理制度，规范人力资源市场秩序，</w:t>
      </w:r>
      <w:r>
        <w:rPr>
          <w:rFonts w:hint="eastAsia" w:ascii="仿宋_GB2312" w:hAnsi="仿宋_GB2312" w:eastAsia="仿宋_GB2312" w:cs="仿宋_GB2312"/>
          <w:color w:val="auto"/>
          <w:sz w:val="32"/>
          <w:szCs w:val="32"/>
          <w:highlight w:val="none"/>
          <w:lang w:val="en-US" w:eastAsia="zh-CN"/>
        </w:rPr>
        <w:t>完善</w:t>
      </w:r>
      <w:r>
        <w:rPr>
          <w:rFonts w:hint="eastAsia" w:ascii="仿宋_GB2312" w:hAnsi="仿宋_GB2312" w:eastAsia="仿宋_GB2312" w:cs="仿宋_GB2312"/>
          <w:color w:val="auto"/>
          <w:sz w:val="32"/>
          <w:szCs w:val="32"/>
          <w:highlight w:val="none"/>
          <w:lang w:eastAsia="zh-CN"/>
        </w:rPr>
        <w:t>重点用工企业需求监测机制，</w:t>
      </w:r>
      <w:r>
        <w:rPr>
          <w:rFonts w:hint="eastAsia" w:ascii="仿宋_GB2312" w:hAnsi="仿宋_GB2312" w:eastAsia="仿宋_GB2312" w:cs="仿宋_GB2312"/>
          <w:color w:val="auto"/>
          <w:sz w:val="32"/>
          <w:szCs w:val="32"/>
          <w:highlight w:val="none"/>
          <w:lang w:val="en-US" w:eastAsia="zh-CN"/>
        </w:rPr>
        <w:t>建立</w:t>
      </w:r>
      <w:r>
        <w:rPr>
          <w:rFonts w:hint="eastAsia" w:ascii="仿宋_GB2312" w:hAnsi="仿宋_GB2312" w:eastAsia="仿宋_GB2312" w:cs="仿宋_GB2312"/>
          <w:color w:val="auto"/>
          <w:sz w:val="32"/>
          <w:szCs w:val="32"/>
          <w:highlight w:val="none"/>
          <w:lang w:eastAsia="zh-CN"/>
        </w:rPr>
        <w:t>人力资源储备制度，</w:t>
      </w:r>
      <w:r>
        <w:rPr>
          <w:rFonts w:hint="eastAsia" w:ascii="仿宋_GB2312" w:hAnsi="仿宋_GB2312" w:eastAsia="仿宋_GB2312" w:cs="仿宋_GB2312"/>
          <w:color w:val="auto"/>
          <w:sz w:val="32"/>
          <w:szCs w:val="32"/>
          <w:highlight w:val="none"/>
          <w:lang w:val="en-US" w:eastAsia="zh-CN"/>
        </w:rPr>
        <w:t>深入推进</w:t>
      </w:r>
      <w:r>
        <w:rPr>
          <w:rFonts w:hint="eastAsia" w:ascii="仿宋_GB2312" w:hAnsi="仿宋_GB2312" w:eastAsia="仿宋_GB2312" w:cs="仿宋_GB2312"/>
          <w:color w:val="auto"/>
          <w:sz w:val="32"/>
          <w:szCs w:val="32"/>
          <w:highlight w:val="none"/>
          <w:lang w:eastAsia="zh-CN"/>
        </w:rPr>
        <w:t>企业“共享用工”模式。提高“数智化”</w:t>
      </w:r>
      <w:r>
        <w:rPr>
          <w:rFonts w:hint="eastAsia" w:ascii="仿宋_GB2312" w:hAnsi="仿宋_GB2312" w:eastAsia="仿宋_GB2312" w:cs="仿宋_GB2312"/>
          <w:color w:val="auto"/>
          <w:sz w:val="32"/>
          <w:szCs w:val="32"/>
          <w:highlight w:val="none"/>
          <w:lang w:val="en-US" w:eastAsia="zh-CN"/>
        </w:rPr>
        <w:t>就业服务</w:t>
      </w:r>
      <w:r>
        <w:rPr>
          <w:rFonts w:hint="eastAsia" w:ascii="仿宋_GB2312" w:hAnsi="仿宋_GB2312" w:eastAsia="仿宋_GB2312" w:cs="仿宋_GB2312"/>
          <w:color w:val="auto"/>
          <w:sz w:val="32"/>
          <w:szCs w:val="32"/>
          <w:highlight w:val="none"/>
          <w:lang w:eastAsia="zh-CN"/>
        </w:rPr>
        <w:t>水平，完善人力资源市场体系建设，打破城乡、区域、行业</w:t>
      </w:r>
      <w:r>
        <w:rPr>
          <w:rFonts w:hint="eastAsia" w:ascii="仿宋_GB2312" w:hAnsi="仿宋_GB2312" w:eastAsia="仿宋_GB2312" w:cs="仿宋_GB2312"/>
          <w:color w:val="auto"/>
          <w:sz w:val="32"/>
          <w:szCs w:val="32"/>
          <w:highlight w:val="none"/>
          <w:lang w:val="en-US" w:eastAsia="zh-CN"/>
        </w:rPr>
        <w:t>差别</w:t>
      </w:r>
      <w:r>
        <w:rPr>
          <w:rFonts w:hint="eastAsia" w:ascii="仿宋_GB2312" w:hAnsi="仿宋_GB2312" w:eastAsia="仿宋_GB2312" w:cs="仿宋_GB2312"/>
          <w:color w:val="auto"/>
          <w:sz w:val="32"/>
          <w:szCs w:val="32"/>
          <w:highlight w:val="none"/>
          <w:lang w:eastAsia="zh-CN"/>
        </w:rPr>
        <w:t>，提升劳动力市场供需匹配效率。</w:t>
      </w:r>
    </w:p>
    <w:p w14:paraId="09E3D17F">
      <w:pPr>
        <w:shd w:val="clear"/>
        <w:ind w:firstLine="640" w:firstLineChars="200"/>
        <w:rPr>
          <w:rFonts w:hint="eastAsia" w:ascii="仿宋_GB2312" w:hAnsi="仿宋_GB2312" w:eastAsia="仿宋_GB2312" w:cs="仿宋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二</w:t>
      </w:r>
      <w:r>
        <w:rPr>
          <w:rFonts w:hint="eastAsia" w:ascii="楷体_GB2312" w:hAnsi="楷体_GB2312" w:eastAsia="楷体_GB2312" w:cs="楷体_GB2312"/>
          <w:color w:val="auto"/>
          <w:sz w:val="32"/>
          <w:szCs w:val="32"/>
          <w:highlight w:val="none"/>
          <w:lang w:eastAsia="zh-CN"/>
        </w:rPr>
        <w:t>）完善公共就业服务体系。</w:t>
      </w:r>
      <w:r>
        <w:rPr>
          <w:rFonts w:hint="eastAsia" w:ascii="仿宋_GB2312" w:hAnsi="仿宋_GB2312" w:eastAsia="仿宋_GB2312" w:cs="仿宋_GB2312"/>
          <w:color w:val="auto"/>
          <w:sz w:val="32"/>
          <w:szCs w:val="32"/>
          <w:highlight w:val="none"/>
          <w:lang w:eastAsia="zh-CN"/>
        </w:rPr>
        <w:t>完善区、</w:t>
      </w:r>
      <w:r>
        <w:rPr>
          <w:rFonts w:hint="eastAsia" w:cs="仿宋_GB2312"/>
          <w:color w:val="auto"/>
          <w:sz w:val="32"/>
          <w:szCs w:val="32"/>
          <w:highlight w:val="none"/>
          <w:lang w:eastAsia="zh-CN"/>
        </w:rPr>
        <w:t>街道（镇）</w:t>
      </w:r>
      <w:r>
        <w:rPr>
          <w:rFonts w:hint="eastAsia" w:ascii="仿宋_GB2312" w:hAnsi="仿宋_GB2312" w:eastAsia="仿宋_GB2312" w:cs="仿宋_GB2312"/>
          <w:color w:val="auto"/>
          <w:sz w:val="32"/>
          <w:szCs w:val="32"/>
          <w:highlight w:val="none"/>
          <w:lang w:eastAsia="zh-CN"/>
        </w:rPr>
        <w:t>、</w:t>
      </w:r>
      <w:r>
        <w:rPr>
          <w:rFonts w:hint="eastAsia" w:cs="仿宋_GB2312"/>
          <w:color w:val="auto"/>
          <w:sz w:val="32"/>
          <w:szCs w:val="32"/>
          <w:highlight w:val="none"/>
          <w:lang w:eastAsia="zh-CN"/>
        </w:rPr>
        <w:t>村（居）</w:t>
      </w:r>
      <w:r>
        <w:rPr>
          <w:rFonts w:hint="eastAsia" w:ascii="仿宋_GB2312" w:hAnsi="仿宋_GB2312" w:eastAsia="仿宋_GB2312" w:cs="仿宋_GB2312"/>
          <w:color w:val="auto"/>
          <w:sz w:val="32"/>
          <w:szCs w:val="32"/>
          <w:highlight w:val="none"/>
          <w:lang w:eastAsia="zh-CN"/>
        </w:rPr>
        <w:t>三级就业服务体系，以区公共就业服务机构为主体，健全</w:t>
      </w:r>
      <w:r>
        <w:rPr>
          <w:rFonts w:hint="eastAsia" w:cs="仿宋_GB2312"/>
          <w:color w:val="auto"/>
          <w:sz w:val="32"/>
          <w:szCs w:val="32"/>
          <w:highlight w:val="none"/>
          <w:lang w:eastAsia="zh-CN"/>
        </w:rPr>
        <w:t>街道（镇）</w:t>
      </w:r>
      <w:r>
        <w:rPr>
          <w:rFonts w:hint="eastAsia" w:ascii="仿宋_GB2312" w:hAnsi="仿宋_GB2312" w:eastAsia="仿宋_GB2312" w:cs="仿宋_GB2312"/>
          <w:color w:val="auto"/>
          <w:sz w:val="32"/>
          <w:szCs w:val="32"/>
          <w:highlight w:val="none"/>
          <w:lang w:eastAsia="zh-CN"/>
        </w:rPr>
        <w:t>公共就业服务网络，增强</w:t>
      </w:r>
      <w:r>
        <w:rPr>
          <w:rFonts w:hint="eastAsia" w:cs="仿宋_GB2312"/>
          <w:color w:val="auto"/>
          <w:sz w:val="32"/>
          <w:szCs w:val="32"/>
          <w:highlight w:val="none"/>
          <w:lang w:eastAsia="zh-CN"/>
        </w:rPr>
        <w:t>村（居）</w:t>
      </w:r>
      <w:r>
        <w:rPr>
          <w:rFonts w:hint="eastAsia" w:ascii="仿宋_GB2312" w:hAnsi="仿宋_GB2312" w:eastAsia="仿宋_GB2312" w:cs="仿宋_GB2312"/>
          <w:color w:val="auto"/>
          <w:sz w:val="32"/>
          <w:szCs w:val="32"/>
          <w:highlight w:val="none"/>
          <w:lang w:eastAsia="zh-CN"/>
        </w:rPr>
        <w:t>公共就业承载能力，推动公共就业服务下沉基层。持续开展好“春风行动”等系列招聘活动，搭建高效便捷人力资源交流平台。推进“社区微业”建设，开展“15分钟就业服务圈</w:t>
      </w:r>
      <w:r>
        <w:rPr>
          <w:rFonts w:hint="eastAsia"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CN"/>
        </w:rPr>
        <w:t>一刻钟便民生活圈”深度融合，打造覆盖城乡的“家门口”就业服务体系。在工业园区，探索建设人力资源事务所，为小微企业和初创企业提供专业化、精准化、定制化人力资源服务。</w:t>
      </w:r>
    </w:p>
    <w:p w14:paraId="5D477771">
      <w:pPr>
        <w:shd w:val="clear"/>
        <w:ind w:firstLine="640" w:firstLineChars="200"/>
        <w:rPr>
          <w:rFonts w:hint="eastAsia" w:ascii="仿宋_GB2312" w:hAnsi="仿宋_GB2312" w:eastAsia="仿宋_GB2312" w:cs="仿宋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三</w:t>
      </w:r>
      <w:r>
        <w:rPr>
          <w:rFonts w:hint="eastAsia" w:ascii="楷体_GB2312" w:hAnsi="楷体_GB2312" w:eastAsia="楷体_GB2312" w:cs="楷体_GB2312"/>
          <w:color w:val="auto"/>
          <w:sz w:val="32"/>
          <w:szCs w:val="32"/>
          <w:highlight w:val="none"/>
          <w:lang w:eastAsia="zh-CN"/>
        </w:rPr>
        <w:t>）完善重点群体帮扶体系。</w:t>
      </w:r>
      <w:r>
        <w:rPr>
          <w:rFonts w:hint="eastAsia" w:ascii="仿宋_GB2312" w:hAnsi="仿宋_GB2312" w:eastAsia="仿宋_GB2312" w:cs="仿宋_GB2312"/>
          <w:color w:val="auto"/>
          <w:sz w:val="32"/>
          <w:szCs w:val="32"/>
          <w:highlight w:val="none"/>
          <w:lang w:val="en-US" w:eastAsia="zh-CN"/>
        </w:rPr>
        <w:t>聚焦</w:t>
      </w:r>
      <w:r>
        <w:rPr>
          <w:rFonts w:hint="eastAsia" w:ascii="仿宋_GB2312" w:hAnsi="仿宋_GB2312" w:eastAsia="仿宋_GB2312" w:cs="仿宋_GB2312"/>
          <w:color w:val="auto"/>
          <w:sz w:val="32"/>
          <w:szCs w:val="32"/>
          <w:highlight w:val="none"/>
          <w:lang w:eastAsia="zh-CN"/>
        </w:rPr>
        <w:t>高校毕业生、</w:t>
      </w:r>
      <w:r>
        <w:rPr>
          <w:rFonts w:hint="eastAsia" w:ascii="仿宋_GB2312" w:hAnsi="仿宋_GB2312" w:eastAsia="仿宋_GB2312" w:cs="仿宋_GB2312"/>
          <w:color w:val="auto"/>
          <w:sz w:val="32"/>
          <w:szCs w:val="32"/>
          <w:highlight w:val="none"/>
          <w:lang w:val="en-US" w:eastAsia="zh-CN"/>
        </w:rPr>
        <w:t>农民工、</w:t>
      </w:r>
      <w:r>
        <w:rPr>
          <w:rFonts w:hint="eastAsia" w:ascii="仿宋_GB2312" w:hAnsi="仿宋_GB2312" w:eastAsia="仿宋_GB2312" w:cs="仿宋_GB2312"/>
          <w:color w:val="auto"/>
          <w:sz w:val="32"/>
          <w:szCs w:val="32"/>
          <w:highlight w:val="none"/>
          <w:lang w:eastAsia="zh-CN"/>
        </w:rPr>
        <w:t>失业人员、就业困难人员等重点群体，多渠道挖掘潜力，</w:t>
      </w:r>
      <w:r>
        <w:rPr>
          <w:rFonts w:hint="eastAsia" w:ascii="仿宋_GB2312" w:hAnsi="仿宋_GB2312" w:eastAsia="仿宋_GB2312" w:cs="仿宋_GB2312"/>
          <w:color w:val="auto"/>
          <w:sz w:val="32"/>
          <w:szCs w:val="32"/>
          <w:highlight w:val="none"/>
          <w:lang w:val="en-US" w:eastAsia="zh-CN"/>
        </w:rPr>
        <w:t>加大</w:t>
      </w:r>
      <w:r>
        <w:rPr>
          <w:rFonts w:hint="eastAsia" w:ascii="仿宋_GB2312" w:hAnsi="仿宋_GB2312" w:eastAsia="仿宋_GB2312" w:cs="仿宋_GB2312"/>
          <w:color w:val="auto"/>
          <w:sz w:val="32"/>
          <w:szCs w:val="32"/>
          <w:highlight w:val="none"/>
          <w:lang w:eastAsia="zh-CN"/>
        </w:rPr>
        <w:t>稳岗促就业</w:t>
      </w:r>
      <w:r>
        <w:rPr>
          <w:rFonts w:hint="eastAsia" w:ascii="仿宋_GB2312" w:hAnsi="仿宋_GB2312" w:eastAsia="仿宋_GB2312" w:cs="仿宋_GB2312"/>
          <w:color w:val="auto"/>
          <w:sz w:val="32"/>
          <w:szCs w:val="32"/>
          <w:highlight w:val="none"/>
          <w:lang w:val="en-US" w:eastAsia="zh-CN"/>
        </w:rPr>
        <w:t>力度</w:t>
      </w:r>
      <w:r>
        <w:rPr>
          <w:rFonts w:hint="eastAsia" w:ascii="仿宋_GB2312" w:hAnsi="仿宋_GB2312" w:eastAsia="仿宋_GB2312" w:cs="仿宋_GB2312"/>
          <w:color w:val="auto"/>
          <w:sz w:val="32"/>
          <w:szCs w:val="32"/>
          <w:highlight w:val="none"/>
          <w:lang w:eastAsia="zh-CN"/>
        </w:rPr>
        <w:t>，促进重点群体稳定就业。突出抓好高校毕业生就业，着力培养新质生产力，推行</w:t>
      </w:r>
      <w:r>
        <w:rPr>
          <w:rFonts w:hint="eastAsia" w:ascii="仿宋_GB2312" w:hAnsi="仿宋_GB2312" w:eastAsia="仿宋_GB2312" w:cs="仿宋_GB2312"/>
          <w:color w:val="auto"/>
          <w:sz w:val="32"/>
          <w:szCs w:val="32"/>
          <w:highlight w:val="none"/>
          <w:lang w:val="en-US" w:eastAsia="zh-CN"/>
        </w:rPr>
        <w:t>终身</w:t>
      </w:r>
      <w:r>
        <w:rPr>
          <w:rFonts w:hint="eastAsia" w:ascii="仿宋_GB2312" w:hAnsi="仿宋_GB2312" w:eastAsia="仿宋_GB2312" w:cs="仿宋_GB2312"/>
          <w:color w:val="auto"/>
          <w:sz w:val="32"/>
          <w:szCs w:val="32"/>
          <w:highlight w:val="none"/>
          <w:lang w:eastAsia="zh-CN"/>
        </w:rPr>
        <w:t>职业技能培训制度，增加</w:t>
      </w:r>
      <w:r>
        <w:rPr>
          <w:rFonts w:hint="eastAsia" w:ascii="仿宋_GB2312" w:hAnsi="仿宋_GB2312" w:eastAsia="仿宋_GB2312" w:cs="仿宋_GB2312"/>
          <w:color w:val="auto"/>
          <w:sz w:val="32"/>
          <w:szCs w:val="32"/>
          <w:highlight w:val="none"/>
          <w:lang w:val="en-US" w:eastAsia="zh-CN"/>
        </w:rPr>
        <w:t>技术型人才供给。强化政校企深度合作，统筹高等教育和职业教育，打造富有济阳特色的劳务品牌</w:t>
      </w:r>
      <w:r>
        <w:rPr>
          <w:rFonts w:hint="eastAsia" w:ascii="仿宋_GB2312" w:hAnsi="仿宋_GB2312" w:eastAsia="仿宋_GB2312" w:cs="仿宋_GB2312"/>
          <w:color w:val="auto"/>
          <w:sz w:val="32"/>
          <w:szCs w:val="32"/>
          <w:highlight w:val="none"/>
          <w:lang w:eastAsia="zh-CN"/>
        </w:rPr>
        <w:t>。规范零工市场，引入人力资源服务机构，探索“人力资源</w:t>
      </w:r>
      <w:r>
        <w:rPr>
          <w:rFonts w:hint="eastAsia"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CN"/>
        </w:rPr>
        <w:t>技能提升</w:t>
      </w:r>
      <w:r>
        <w:rPr>
          <w:rFonts w:hint="eastAsia"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CN"/>
        </w:rPr>
        <w:t>转移就业”的链条式就业服务，让农民工更好融入城市、共享发展成果。聚焦弱势群体，推进城乡公益岗开发，做好兜底帮扶，对就业困难人员实行实名制动态管理和分类帮扶，确保零就业家庭成员至少一人实现就业。</w:t>
      </w:r>
    </w:p>
    <w:p w14:paraId="63EDE66B">
      <w:pPr>
        <w:shd w:val="clear"/>
        <w:ind w:firstLine="640" w:firstLineChars="200"/>
        <w:rPr>
          <w:rFonts w:hint="eastAsia" w:ascii="仿宋_GB2312" w:hAnsi="仿宋_GB2312" w:eastAsia="仿宋_GB2312" w:cs="仿宋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四</w:t>
      </w:r>
      <w:r>
        <w:rPr>
          <w:rFonts w:hint="eastAsia" w:ascii="楷体_GB2312" w:hAnsi="楷体_GB2312" w:eastAsia="楷体_GB2312" w:cs="楷体_GB2312"/>
          <w:color w:val="auto"/>
          <w:sz w:val="32"/>
          <w:szCs w:val="32"/>
          <w:highlight w:val="none"/>
          <w:lang w:eastAsia="zh-CN"/>
        </w:rPr>
        <w:t>）完善创新创业培育体系。</w:t>
      </w:r>
      <w:r>
        <w:rPr>
          <w:rFonts w:hint="eastAsia" w:ascii="仿宋_GB2312" w:hAnsi="仿宋_GB2312" w:eastAsia="仿宋_GB2312" w:cs="仿宋_GB2312"/>
          <w:color w:val="auto"/>
          <w:sz w:val="32"/>
          <w:szCs w:val="32"/>
          <w:highlight w:val="none"/>
          <w:lang w:eastAsia="zh-CN"/>
        </w:rPr>
        <w:t>优化创新创业服务措施，加快孵化创新创业项目，强化财政、金融、产业等政策对创新创业的支持导向，落实创业担保贷款政策，</w:t>
      </w:r>
      <w:r>
        <w:rPr>
          <w:rFonts w:hint="eastAsia" w:ascii="仿宋_GB2312" w:hAnsi="仿宋_GB2312" w:eastAsia="仿宋_GB2312" w:cs="仿宋_GB2312"/>
          <w:color w:val="auto"/>
          <w:sz w:val="32"/>
          <w:szCs w:val="32"/>
          <w:highlight w:val="none"/>
          <w:lang w:val="en-US" w:eastAsia="zh-CN"/>
        </w:rPr>
        <w:t>扶持创业项目做大做强，</w:t>
      </w:r>
      <w:r>
        <w:rPr>
          <w:rFonts w:hint="eastAsia" w:ascii="仿宋_GB2312" w:hAnsi="仿宋_GB2312" w:eastAsia="仿宋_GB2312" w:cs="仿宋_GB2312"/>
          <w:color w:val="auto"/>
          <w:sz w:val="32"/>
          <w:szCs w:val="32"/>
          <w:highlight w:val="none"/>
          <w:lang w:eastAsia="zh-CN"/>
        </w:rPr>
        <w:t>发挥创业带动就业作用。加快“创业街区”建设，增强</w:t>
      </w:r>
      <w:r>
        <w:rPr>
          <w:rFonts w:hint="eastAsia" w:ascii="仿宋_GB2312" w:hAnsi="仿宋_GB2312" w:eastAsia="仿宋_GB2312" w:cs="仿宋_GB2312"/>
          <w:color w:val="auto"/>
          <w:sz w:val="32"/>
          <w:szCs w:val="32"/>
          <w:highlight w:val="none"/>
          <w:lang w:val="en-US" w:eastAsia="zh-CN"/>
        </w:rPr>
        <w:t>“创业赋能驿站”服务能力，营造良好创业氛围。持续开展创业指导、创业提升、创业沙龙活动，增强创新创业项目活力，促进产业与就业协同发展，积极培育新职业、新岗位，打造新的经济增长点。</w:t>
      </w:r>
    </w:p>
    <w:p w14:paraId="3A96AE0D">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1"/>
        <w:rPr>
          <w:rFonts w:hint="eastAsia" w:ascii="黑体" w:hAnsi="黑体" w:eastAsia="黑体" w:cs="黑体"/>
          <w:color w:val="auto"/>
          <w:szCs w:val="32"/>
          <w:highlight w:val="none"/>
          <w:lang w:val="en-US" w:eastAsia="zh-CN"/>
        </w:rPr>
      </w:pPr>
      <w:bookmarkStart w:id="385" w:name="_Toc16497"/>
      <w:bookmarkStart w:id="386" w:name="_Toc30179"/>
      <w:r>
        <w:rPr>
          <w:rFonts w:hint="eastAsia" w:ascii="黑体" w:hAnsi="黑体" w:eastAsia="黑体" w:cs="黑体"/>
          <w:color w:val="auto"/>
          <w:szCs w:val="32"/>
          <w:highlight w:val="none"/>
          <w:lang w:val="en-US" w:eastAsia="zh-CN"/>
        </w:rPr>
        <w:t>二、办好人民满意的教育</w:t>
      </w:r>
      <w:bookmarkEnd w:id="385"/>
      <w:bookmarkEnd w:id="386"/>
    </w:p>
    <w:p w14:paraId="00406CED">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color w:val="auto"/>
          <w:kern w:val="2"/>
          <w:szCs w:val="32"/>
          <w:highlight w:val="none"/>
          <w:lang w:val="en-US" w:eastAsia="zh-CN"/>
        </w:rPr>
        <w:t>聚焦各学段教育协同优质发展，构建覆盖学前教育普惠优质、义务教育均衡优质、高中教育特色优质、职业与特殊教育多元优质的现代教育体系，全面提升教育质量与公平性，为区域高质量发展提供坚实人才支撑和智力保障。</w:t>
      </w:r>
    </w:p>
    <w:p w14:paraId="5EC8C25E">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（一）构建优质均衡的基础教育体系。</w:t>
      </w:r>
      <w:r>
        <w:rPr>
          <w:rFonts w:hint="eastAsia"/>
          <w:color w:val="auto"/>
          <w:kern w:val="2"/>
          <w:szCs w:val="32"/>
          <w:highlight w:val="none"/>
          <w:lang w:val="en-US" w:eastAsia="zh-CN"/>
        </w:rPr>
        <w:t>坚守义务教育入学率100%、巩固率99.5%以上的底线，积极创建国家义务教育优质均衡发展区。聚焦学位扩容，实施普通高中提档升级工程，推进济北中学等学校改扩建工程。统筹城乡教育资源，探索小班化教学模式，落实教育投入“两个只增不减”，缩小城乡、校际差距。推进智慧校园建设与师资轮岗机制，促进教育公平。聚焦新高考，推动教育教学模式创新。依托“名优培育”工程，建设名师工作室，扩招生、强特色，促进高中多样化发展。</w:t>
      </w:r>
    </w:p>
    <w:p w14:paraId="2CE3A7C6">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（二）统筹办好职业教育和特殊教育。</w:t>
      </w:r>
      <w:r>
        <w:rPr>
          <w:rFonts w:hint="eastAsia"/>
          <w:color w:val="auto"/>
          <w:kern w:val="2"/>
          <w:szCs w:val="32"/>
          <w:highlight w:val="none"/>
          <w:lang w:val="en-US" w:eastAsia="zh-CN"/>
        </w:rPr>
        <w:t>以建成高水平中等职业学校为目标，实施推进山东艺术设计职业学院济阳校区建设等项目，打造集教学、实训、生产于一体的区域生产性公共实训基地，探索五年制高职人才培养新模式，推动职业教育与区域产业需求精准对接。健全十五年特殊教育免费服务体系，推动十五年一贯制特殊教育学校项目，加强特殊教育学校标准化建设，深化医（康）教结合机制，完善个别化教育方案，配齐配强特教教师和康复专业人员。通过强化资源教室建设、推进融合教育等举措，确保残疾少年儿童安置入学率稳定在99%以上，构建全纳、适切、优质的特殊教育服务体系。</w:t>
      </w:r>
    </w:p>
    <w:p w14:paraId="32843245">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eastAsia="仿宋_GB2312"/>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（三）加快建设全民教育体系。</w:t>
      </w:r>
      <w:r>
        <w:rPr>
          <w:rFonts w:hint="eastAsia"/>
          <w:color w:val="auto"/>
          <w:kern w:val="2"/>
          <w:szCs w:val="32"/>
          <w:highlight w:val="none"/>
          <w:lang w:val="en-US" w:eastAsia="zh-CN"/>
        </w:rPr>
        <w:t>健全校、家、社协同育人机制，加大家庭教育力度。</w:t>
      </w:r>
      <w:r>
        <w:rPr>
          <w:rFonts w:hint="eastAsia"/>
          <w:color w:val="auto"/>
          <w:kern w:val="2"/>
          <w:szCs w:val="32"/>
          <w:highlight w:val="none"/>
        </w:rPr>
        <w:t>以覆盖全体市民</w:t>
      </w:r>
      <w:r>
        <w:rPr>
          <w:rFonts w:hint="eastAsia"/>
          <w:color w:val="auto"/>
          <w:kern w:val="2"/>
          <w:szCs w:val="32"/>
          <w:highlight w:val="none"/>
          <w:lang w:eastAsia="zh-CN"/>
        </w:rPr>
        <w:t>、</w:t>
      </w:r>
      <w:r>
        <w:rPr>
          <w:rFonts w:hint="eastAsia"/>
          <w:color w:val="auto"/>
          <w:kern w:val="2"/>
          <w:szCs w:val="32"/>
          <w:highlight w:val="none"/>
        </w:rPr>
        <w:t>拓宽全民学习路径</w:t>
      </w:r>
      <w:r>
        <w:rPr>
          <w:rFonts w:hint="eastAsia"/>
          <w:color w:val="auto"/>
          <w:kern w:val="2"/>
          <w:szCs w:val="32"/>
          <w:highlight w:val="none"/>
          <w:lang w:val="en-US" w:eastAsia="zh-CN"/>
        </w:rPr>
        <w:t>为目标</w:t>
      </w:r>
      <w:r>
        <w:rPr>
          <w:rFonts w:hint="eastAsia"/>
          <w:color w:val="auto"/>
          <w:kern w:val="2"/>
          <w:szCs w:val="32"/>
          <w:highlight w:val="none"/>
        </w:rPr>
        <w:t>，助力学习型城</w:t>
      </w:r>
      <w:r>
        <w:rPr>
          <w:rFonts w:hint="eastAsia"/>
          <w:color w:val="auto"/>
          <w:kern w:val="2"/>
          <w:szCs w:val="32"/>
          <w:highlight w:val="none"/>
          <w:lang w:val="en-US" w:eastAsia="zh-CN"/>
        </w:rPr>
        <w:t>区</w:t>
      </w:r>
      <w:r>
        <w:rPr>
          <w:rFonts w:hint="eastAsia"/>
          <w:color w:val="auto"/>
          <w:kern w:val="2"/>
          <w:szCs w:val="32"/>
          <w:highlight w:val="none"/>
        </w:rPr>
        <w:t>、学习型社会建设。强化城乡村（</w:t>
      </w:r>
      <w:r>
        <w:rPr>
          <w:rFonts w:hint="eastAsia"/>
          <w:color w:val="auto"/>
          <w:kern w:val="2"/>
          <w:szCs w:val="32"/>
          <w:highlight w:val="none"/>
          <w:lang w:val="en-US" w:eastAsia="zh-CN"/>
        </w:rPr>
        <w:t>居</w:t>
      </w:r>
      <w:r>
        <w:rPr>
          <w:rFonts w:hint="eastAsia"/>
          <w:color w:val="auto"/>
          <w:kern w:val="2"/>
          <w:szCs w:val="32"/>
          <w:highlight w:val="none"/>
        </w:rPr>
        <w:t>）教育公共服务体系建设，统筹资源</w:t>
      </w:r>
      <w:r>
        <w:rPr>
          <w:rFonts w:hint="eastAsia"/>
          <w:color w:val="auto"/>
          <w:kern w:val="2"/>
          <w:szCs w:val="32"/>
          <w:highlight w:val="none"/>
          <w:lang w:val="en-US" w:eastAsia="zh-CN"/>
        </w:rPr>
        <w:t>下沉</w:t>
      </w:r>
      <w:r>
        <w:rPr>
          <w:rFonts w:hint="eastAsia"/>
          <w:color w:val="auto"/>
          <w:kern w:val="2"/>
          <w:szCs w:val="32"/>
          <w:highlight w:val="none"/>
        </w:rPr>
        <w:t>，搭建数字化平台，开展技能培训、文化素养提升等各类课程。深入开展学习型机关企事业单位创建工作，营造</w:t>
      </w:r>
      <w:r>
        <w:rPr>
          <w:rFonts w:hint="eastAsia"/>
          <w:color w:val="auto"/>
          <w:kern w:val="2"/>
          <w:szCs w:val="32"/>
          <w:highlight w:val="none"/>
          <w:lang w:val="en-US" w:eastAsia="zh-CN"/>
        </w:rPr>
        <w:t>终身学习</w:t>
      </w:r>
      <w:r>
        <w:rPr>
          <w:rFonts w:hint="eastAsia"/>
          <w:color w:val="auto"/>
          <w:kern w:val="2"/>
          <w:szCs w:val="32"/>
          <w:highlight w:val="none"/>
        </w:rPr>
        <w:t>氛围。大力发展老年教育，开设特色课程。高水平建设开放大学，推进智慧教育创新示范，促进教育新业态发展，</w:t>
      </w:r>
      <w:r>
        <w:rPr>
          <w:rFonts w:hint="eastAsia"/>
          <w:color w:val="auto"/>
          <w:kern w:val="2"/>
          <w:szCs w:val="32"/>
          <w:highlight w:val="none"/>
          <w:lang w:val="en-US" w:eastAsia="zh-CN"/>
        </w:rPr>
        <w:t>以</w:t>
      </w:r>
      <w:r>
        <w:rPr>
          <w:rFonts w:hint="eastAsia"/>
          <w:color w:val="auto"/>
          <w:kern w:val="2"/>
          <w:szCs w:val="32"/>
          <w:highlight w:val="none"/>
        </w:rPr>
        <w:t>全民教育</w:t>
      </w:r>
      <w:r>
        <w:rPr>
          <w:rFonts w:hint="eastAsia"/>
          <w:color w:val="auto"/>
          <w:kern w:val="2"/>
          <w:szCs w:val="32"/>
          <w:highlight w:val="none"/>
          <w:lang w:val="en-US" w:eastAsia="zh-CN"/>
        </w:rPr>
        <w:t>助推</w:t>
      </w:r>
      <w:r>
        <w:rPr>
          <w:rFonts w:hint="eastAsia"/>
          <w:color w:val="auto"/>
          <w:kern w:val="2"/>
          <w:szCs w:val="32"/>
          <w:highlight w:val="none"/>
        </w:rPr>
        <w:t>社会进步。</w:t>
      </w:r>
    </w:p>
    <w:p w14:paraId="04C0C9F2">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1"/>
        <w:rPr>
          <w:rFonts w:hint="eastAsia" w:ascii="黑体" w:hAnsi="黑体" w:eastAsia="黑体" w:cs="黑体"/>
          <w:color w:val="auto"/>
          <w:szCs w:val="32"/>
          <w:highlight w:val="none"/>
          <w:lang w:val="en-US" w:eastAsia="zh-CN"/>
        </w:rPr>
      </w:pPr>
      <w:bookmarkStart w:id="387" w:name="_Toc23766"/>
      <w:bookmarkStart w:id="388" w:name="_Toc14707"/>
      <w:r>
        <w:rPr>
          <w:rFonts w:hint="eastAsia" w:ascii="黑体" w:hAnsi="黑体" w:eastAsia="黑体" w:cs="黑体"/>
          <w:color w:val="auto"/>
          <w:szCs w:val="32"/>
          <w:highlight w:val="none"/>
          <w:lang w:val="en-US" w:eastAsia="zh-CN"/>
        </w:rPr>
        <w:t>三、加快健康济阳建设</w:t>
      </w:r>
      <w:bookmarkEnd w:id="387"/>
      <w:bookmarkEnd w:id="388"/>
    </w:p>
    <w:p w14:paraId="6D345908">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color w:val="auto"/>
          <w:kern w:val="2"/>
          <w:szCs w:val="32"/>
          <w:highlight w:val="none"/>
          <w:lang w:val="en-US" w:eastAsia="zh-CN"/>
        </w:rPr>
        <w:t>聚焦人民群众全生命周期健康需求，构建医疗服务提质、公共卫生强化、中医传承创新、全周期保障协同的健康服务体系，全面提升健康供给能力与应急防控水平，为建设健康济阳、保障群众生命健康筑牢坚实根基。</w:t>
      </w:r>
    </w:p>
    <w:p w14:paraId="1F60577C">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color w:val="auto"/>
          <w:kern w:val="2"/>
          <w:szCs w:val="32"/>
          <w:highlight w:val="none"/>
          <w:lang w:val="en-US"/>
        </w:rPr>
      </w:pPr>
      <w:r>
        <w:rPr>
          <w:rFonts w:hint="eastAsia" w:ascii="楷体_GB2312" w:hAnsi="楷体_GB2312" w:eastAsia="楷体_GB2312" w:cs="楷体_GB2312"/>
          <w:b w:val="0"/>
          <w:bCs w:val="0"/>
          <w:color w:val="auto"/>
          <w:spacing w:val="0"/>
          <w:sz w:val="32"/>
          <w:szCs w:val="32"/>
          <w:highlight w:val="none"/>
          <w:lang w:val="en-US" w:eastAsia="zh-CN"/>
        </w:rPr>
        <w:t>（一）提升医疗综合服务保障能力。</w:t>
      </w:r>
      <w:r>
        <w:rPr>
          <w:rFonts w:hint="eastAsia"/>
          <w:color w:val="auto"/>
          <w:kern w:val="2"/>
          <w:szCs w:val="32"/>
          <w:highlight w:val="none"/>
          <w:lang w:val="en-US" w:eastAsia="zh-CN"/>
        </w:rPr>
        <w:t>推动区级医院重点围绕提升医疗服务能力、医联体建设、学科建设、分级诊疗、智慧医疗等实现高质量发展。探索街道（镇）社区卫生服务中心（卫生院）“一院一特色”发展模式，提升基本医疗服务能力。进一步规范信息化管理，实现数据联享，提升卫生专网能力，</w:t>
      </w:r>
      <w:r>
        <w:rPr>
          <w:rFonts w:hint="eastAsia" w:ascii="仿宋_GB2312" w:hAnsi="仿宋_GB2312" w:eastAsia="仿宋_GB2312" w:cs="仿宋_GB2312"/>
          <w:color w:val="auto"/>
          <w:sz w:val="32"/>
          <w:szCs w:val="32"/>
          <w:highlight w:val="none"/>
          <w:lang w:val="en-US" w:eastAsia="zh-CN" w:bidi="ar-SA"/>
        </w:rPr>
        <w:t>加强数据质控。</w:t>
      </w:r>
      <w:r>
        <w:rPr>
          <w:rFonts w:hint="eastAsia"/>
          <w:color w:val="auto"/>
          <w:kern w:val="2"/>
          <w:szCs w:val="32"/>
          <w:highlight w:val="none"/>
          <w:lang w:val="en-US" w:eastAsia="zh-CN"/>
        </w:rPr>
        <w:t>加快优质医疗资源扩容和均衡布局，推进建设区人民医院影像检验综合楼、病房改造提升等项目，破解就医难问题。整合医疗卫生服务体系，推进区级医院与北京天坛医院、齐鲁医院、千佛山医院等国内知名医院合作，重点提升神经外科、妇科、肿瘤、胃肠等专科诊疗水平。完善紧密型医共体政策，</w:t>
      </w:r>
      <w:r>
        <w:rPr>
          <w:rFonts w:hint="eastAsia" w:ascii="仿宋_GB2312" w:hAnsi="仿宋_GB2312" w:eastAsia="仿宋_GB2312" w:cs="仿宋_GB2312"/>
          <w:color w:val="auto"/>
          <w:sz w:val="32"/>
          <w:szCs w:val="32"/>
          <w:highlight w:val="none"/>
          <w:lang w:val="en-US" w:eastAsia="zh-CN" w:bidi="ar-SA"/>
        </w:rPr>
        <w:t>建成布局合理、权责清晰、运行高效、分工协作的区域医共体。</w:t>
      </w:r>
    </w:p>
    <w:p w14:paraId="7D305801">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（二）推动中医药传承创新发展。</w:t>
      </w:r>
      <w:r>
        <w:rPr>
          <w:rFonts w:hint="eastAsia"/>
          <w:color w:val="auto"/>
          <w:kern w:val="2"/>
          <w:szCs w:val="32"/>
          <w:highlight w:val="none"/>
          <w:lang w:val="en-US" w:eastAsia="zh-CN"/>
        </w:rPr>
        <w:t>持续推进中医院基础设施建设，推进区中医医院改扩建，建设中医院门急诊楼、康复楼等设施，提升中医在康复、治未病等领域的服务供给能力，满足居民中医药需求。加大中医药人才培养力度，实施优秀青年中医技术骨干培养计划，搭建中青年人才快速成长平台，培养8-10名中医技术骨干。依托省会医学教育资源，培养10-12名中医护理专业技术人员，夯实人才基础。以建设中医药强区为目标，实施“四大工程”，争创5-6个中医药文化进校园，推动中医药文化进校园传承工作。</w:t>
      </w:r>
    </w:p>
    <w:p w14:paraId="27C9AA3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（三）深入推进全周期卫生健康行动。</w:t>
      </w:r>
      <w:r>
        <w:rPr>
          <w:rFonts w:hint="eastAsia"/>
          <w:color w:val="auto"/>
          <w:kern w:val="2"/>
          <w:szCs w:val="32"/>
          <w:highlight w:val="none"/>
          <w:lang w:val="en-US" w:eastAsia="zh-CN"/>
        </w:rPr>
        <w:t>落实婚检、孕前优生检查，提升出生质量。以创建二级妇幼保健机构为抓手，培育特色妇幼健康服务项目。优化儿童康复中心布局，深化省级协作提升诊疗能力。构建多元普惠托育体系，加快公办托育建设，支持机关国企举办，鼓励公建民营。高标准建设区级托育综合服务中心，配备全链条服务。完善居家医疗，支持机构为失能、高龄群体提供上门服务，鼓励在养老机构设立医疗站点，延伸服务保障老年人健康。</w:t>
      </w:r>
    </w:p>
    <w:p w14:paraId="08721CF3">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0" w:firstLineChars="0"/>
        <w:jc w:val="center"/>
        <w:textAlignment w:val="auto"/>
        <w:outlineLvl w:val="2"/>
        <w:rPr>
          <w:rFonts w:hint="eastAsia" w:ascii="楷体_GB2312" w:hAnsi="楷体_GB2312" w:eastAsia="楷体_GB2312" w:cs="楷体_GB2312"/>
          <w:b w:val="0"/>
          <w:bCs w:val="0"/>
          <w:color w:val="auto"/>
          <w:spacing w:val="0"/>
          <w:kern w:val="2"/>
          <w:sz w:val="28"/>
          <w:szCs w:val="28"/>
          <w:highlight w:val="none"/>
          <w:lang w:val="en-US" w:eastAsia="zh-CN"/>
        </w:rPr>
      </w:pPr>
      <w:bookmarkStart w:id="389" w:name="_Toc15618"/>
      <w:r>
        <w:rPr>
          <w:rFonts w:hint="eastAsia" w:ascii="楷体_GB2312" w:hAnsi="楷体_GB2312" w:eastAsia="楷体_GB2312" w:cs="楷体_GB2312"/>
          <w:b w:val="0"/>
          <w:bCs w:val="0"/>
          <w:color w:val="auto"/>
          <w:spacing w:val="0"/>
          <w:kern w:val="2"/>
          <w:sz w:val="28"/>
          <w:szCs w:val="28"/>
          <w:highlight w:val="none"/>
          <w:lang w:val="en-US" w:eastAsia="zh-CN"/>
        </w:rPr>
        <w:t>专栏11  大力实施健康工程</w:t>
      </w:r>
      <w:bookmarkEnd w:id="389"/>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5CCF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tcBorders>
              <w:left w:val="nil"/>
              <w:right w:val="nil"/>
            </w:tcBorders>
          </w:tcPr>
          <w:p w14:paraId="7CD43A7D">
            <w:pPr>
              <w:keepNext w:val="0"/>
              <w:keepLines w:val="0"/>
              <w:pageBreakBefore w:val="0"/>
              <w:widowControl w:val="0"/>
              <w:shd w:val="clear"/>
              <w:kinsoku/>
              <w:wordWrap/>
              <w:overflowPunct w:val="0"/>
              <w:topLinePunct w:val="0"/>
              <w:autoSpaceDE/>
              <w:autoSpaceDN/>
              <w:bidi w:val="0"/>
              <w:adjustRightInd w:val="0"/>
              <w:snapToGrid w:val="0"/>
              <w:spacing w:line="480" w:lineRule="exact"/>
              <w:jc w:val="both"/>
              <w:textAlignment w:val="auto"/>
              <w:rPr>
                <w:rFonts w:hint="default"/>
                <w:color w:val="auto"/>
                <w:sz w:val="28"/>
                <w:szCs w:val="28"/>
                <w:highlight w:val="none"/>
                <w:lang w:val="en-US"/>
              </w:rPr>
            </w:pPr>
            <w:r>
              <w:rPr>
                <w:rFonts w:hint="eastAsia" w:ascii="楷体_GB2312" w:hAnsi="楷体_GB2312" w:eastAsia="楷体_GB2312" w:cs="楷体_GB2312"/>
                <w:b/>
                <w:bCs/>
                <w:color w:val="auto"/>
                <w:kern w:val="2"/>
                <w:sz w:val="28"/>
                <w:szCs w:val="28"/>
                <w:highlight w:val="none"/>
                <w:vertAlign w:val="baseline"/>
                <w:lang w:val="en-US" w:eastAsia="zh-CN"/>
              </w:rPr>
              <w:t>1.构建全域覆盖的医疗服务网络</w:t>
            </w:r>
            <w:r>
              <w:rPr>
                <w:rFonts w:hint="eastAsia" w:ascii="楷体_GB2312" w:hAnsi="楷体_GB2312" w:eastAsia="楷体_GB2312" w:cs="楷体_GB2312"/>
                <w:color w:val="auto"/>
                <w:kern w:val="2"/>
                <w:sz w:val="28"/>
                <w:szCs w:val="28"/>
                <w:highlight w:val="none"/>
                <w:vertAlign w:val="baseline"/>
                <w:lang w:val="en-US" w:eastAsia="zh-CN"/>
              </w:rPr>
              <w:t>。以区人民医院影像检验综合楼、区中医医院改扩建、病房改造提升、晏康中医医院二期、济阳区青少年心理康复中心及配套设施设备为重点项目，强化区域医疗技术核心建设；探索“医防融合”与智慧营养供应链，提升医疗基建及服务容量，推动医疗从“以治病为中心”转向“以健康为中心”。</w:t>
            </w:r>
          </w:p>
          <w:p w14:paraId="006C49B1">
            <w:pPr>
              <w:pStyle w:val="8"/>
              <w:keepNext w:val="0"/>
              <w:keepLines w:val="0"/>
              <w:pageBreakBefore w:val="0"/>
              <w:widowControl w:val="0"/>
              <w:shd w:val="clear"/>
              <w:kinsoku/>
              <w:wordWrap/>
              <w:overflowPunct w:val="0"/>
              <w:topLinePunct w:val="0"/>
              <w:autoSpaceDE/>
              <w:autoSpaceDN/>
              <w:bidi w:val="0"/>
              <w:adjustRightInd w:val="0"/>
              <w:snapToGrid w:val="0"/>
              <w:spacing w:after="0" w:line="480" w:lineRule="exact"/>
              <w:ind w:left="0" w:leftChars="0" w:firstLine="562" w:firstLineChars="200"/>
              <w:jc w:val="both"/>
              <w:textAlignment w:val="auto"/>
              <w:rPr>
                <w:rFonts w:hint="eastAsia" w:ascii="楷体_GB2312" w:hAnsi="楷体_GB2312" w:eastAsia="楷体_GB2312" w:cs="楷体_GB2312"/>
                <w:color w:val="auto"/>
                <w:kern w:val="2"/>
                <w:sz w:val="28"/>
                <w:szCs w:val="28"/>
                <w:highlight w:val="none"/>
                <w:vertAlign w:val="baseline"/>
                <w:lang w:val="en-US" w:eastAsia="zh-CN"/>
              </w:rPr>
            </w:pPr>
            <w:r>
              <w:rPr>
                <w:rFonts w:hint="eastAsia" w:ascii="楷体_GB2312" w:hAnsi="楷体_GB2312" w:eastAsia="楷体_GB2312" w:cs="楷体_GB2312"/>
                <w:b/>
                <w:bCs/>
                <w:color w:val="auto"/>
                <w:kern w:val="2"/>
                <w:sz w:val="28"/>
                <w:szCs w:val="28"/>
                <w:highlight w:val="none"/>
                <w:vertAlign w:val="baseline"/>
                <w:lang w:val="en-US" w:eastAsia="zh-CN"/>
              </w:rPr>
              <w:t>2.织密基层医卫服务网络</w:t>
            </w:r>
            <w:r>
              <w:rPr>
                <w:rFonts w:hint="eastAsia" w:ascii="楷体_GB2312" w:hAnsi="楷体_GB2312" w:eastAsia="楷体_GB2312" w:cs="楷体_GB2312"/>
                <w:color w:val="auto"/>
                <w:kern w:val="2"/>
                <w:sz w:val="28"/>
                <w:szCs w:val="28"/>
                <w:highlight w:val="none"/>
                <w:vertAlign w:val="baseline"/>
                <w:lang w:val="en-US" w:eastAsia="zh-CN"/>
              </w:rPr>
              <w:t>。推进2个医疗服务次中心（曲堤街道、垛石街道社区卫生服务中心）病房改造提升项目，实施2个乡镇（仁风镇、新市镇）卫生院康复大厅、康养中心、公卫中心项目，打造基层健康服务平台；建设区级医院与基层紧密型医共体，畅通双向转诊等通道，形成“区级强、街道（镇）级活、村级稳”三级网络，让群众在家门口享受高质医疗。</w:t>
            </w:r>
          </w:p>
          <w:p w14:paraId="40B18967">
            <w:pPr>
              <w:pStyle w:val="8"/>
              <w:keepNext w:val="0"/>
              <w:keepLines w:val="0"/>
              <w:pageBreakBefore w:val="0"/>
              <w:widowControl w:val="0"/>
              <w:shd w:val="clear"/>
              <w:kinsoku/>
              <w:wordWrap/>
              <w:overflowPunct w:val="0"/>
              <w:topLinePunct w:val="0"/>
              <w:autoSpaceDE/>
              <w:autoSpaceDN/>
              <w:bidi w:val="0"/>
              <w:adjustRightInd w:val="0"/>
              <w:snapToGrid w:val="0"/>
              <w:spacing w:after="0" w:line="480" w:lineRule="exact"/>
              <w:ind w:left="0" w:leftChars="0" w:firstLine="562" w:firstLineChars="200"/>
              <w:jc w:val="both"/>
              <w:textAlignment w:val="auto"/>
              <w:rPr>
                <w:rFonts w:hint="eastAsia" w:ascii="楷体_GB2312" w:hAnsi="楷体_GB2312" w:eastAsia="楷体_GB2312" w:cs="楷体_GB2312"/>
                <w:color w:val="auto"/>
                <w:kern w:val="2"/>
                <w:sz w:val="28"/>
                <w:szCs w:val="28"/>
                <w:highlight w:val="none"/>
                <w:vertAlign w:val="baseline"/>
                <w:lang w:val="en-US" w:eastAsia="zh-CN"/>
              </w:rPr>
            </w:pPr>
            <w:r>
              <w:rPr>
                <w:rFonts w:hint="eastAsia" w:ascii="楷体_GB2312" w:hAnsi="楷体_GB2312" w:eastAsia="楷体_GB2312" w:cs="楷体_GB2312"/>
                <w:b/>
                <w:bCs/>
                <w:color w:val="auto"/>
                <w:kern w:val="2"/>
                <w:sz w:val="28"/>
                <w:szCs w:val="28"/>
                <w:highlight w:val="none"/>
                <w:vertAlign w:val="baseline"/>
                <w:lang w:val="en-US" w:eastAsia="zh-CN"/>
              </w:rPr>
              <w:t>3.培育融合创新的健康产业生态</w:t>
            </w:r>
            <w:r>
              <w:rPr>
                <w:rFonts w:hint="eastAsia" w:ascii="楷体_GB2312" w:hAnsi="楷体_GB2312" w:eastAsia="楷体_GB2312" w:cs="楷体_GB2312"/>
                <w:color w:val="auto"/>
                <w:kern w:val="2"/>
                <w:sz w:val="28"/>
                <w:szCs w:val="28"/>
                <w:highlight w:val="none"/>
                <w:vertAlign w:val="baseline"/>
                <w:lang w:val="en-US" w:eastAsia="zh-CN"/>
              </w:rPr>
              <w:t>。建立“医防融合”体系，用大数据做健康管理。发展康复护理、医养结合等业态，促进中医药与现代健康理念融合，培育特色健康产业集群，提升居民健康素养与生活品质。</w:t>
            </w:r>
          </w:p>
        </w:tc>
      </w:tr>
    </w:tbl>
    <w:p w14:paraId="4F270208">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1"/>
        <w:rPr>
          <w:rFonts w:hint="eastAsia" w:ascii="黑体" w:hAnsi="黑体" w:eastAsia="黑体" w:cs="黑体"/>
          <w:color w:val="auto"/>
          <w:szCs w:val="32"/>
          <w:highlight w:val="none"/>
          <w:lang w:val="en-US" w:eastAsia="zh-CN"/>
        </w:rPr>
      </w:pPr>
      <w:bookmarkStart w:id="390" w:name="_Toc24031"/>
      <w:bookmarkStart w:id="391" w:name="_Toc1952"/>
      <w:r>
        <w:rPr>
          <w:rFonts w:hint="eastAsia" w:ascii="黑体" w:hAnsi="黑体" w:eastAsia="黑体" w:cs="黑体"/>
          <w:color w:val="auto"/>
          <w:szCs w:val="32"/>
          <w:highlight w:val="none"/>
          <w:lang w:val="en-US" w:eastAsia="zh-CN"/>
        </w:rPr>
        <w:t>四、构建多层次社会保障体系</w:t>
      </w:r>
      <w:bookmarkEnd w:id="390"/>
      <w:bookmarkEnd w:id="391"/>
    </w:p>
    <w:p w14:paraId="3398029E">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color w:val="auto"/>
          <w:kern w:val="2"/>
          <w:szCs w:val="32"/>
          <w:highlight w:val="none"/>
        </w:rPr>
        <w:t>聚焦各类群体保障需求，健全覆盖养老保险、医疗保险、重点群体救助的保障体系，增强社会保障的普惠性与精准性，推动社会保障水平与民生改善、社会稳定相协调。</w:t>
      </w:r>
    </w:p>
    <w:p w14:paraId="35AD5CD7">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（一）构建多层次养老保险体系。</w:t>
      </w:r>
      <w:r>
        <w:rPr>
          <w:rFonts w:hint="eastAsia"/>
          <w:color w:val="auto"/>
          <w:kern w:val="2"/>
          <w:szCs w:val="32"/>
          <w:highlight w:val="none"/>
        </w:rPr>
        <w:t>加大相关普法宣传力度，加强对非法集资等事件的预警和处置能力，开展“法律服务助老护老”行动，维护老年人合法权益。全面落实老年人优待政策</w:t>
      </w:r>
      <w:r>
        <w:rPr>
          <w:rFonts w:hint="eastAsia"/>
          <w:color w:val="auto"/>
          <w:kern w:val="2"/>
          <w:szCs w:val="32"/>
          <w:highlight w:val="none"/>
          <w:lang w:val="en-US" w:eastAsia="zh-CN"/>
        </w:rPr>
        <w:t>及</w:t>
      </w:r>
      <w:r>
        <w:rPr>
          <w:rFonts w:hint="eastAsia"/>
          <w:color w:val="auto"/>
          <w:kern w:val="2"/>
          <w:szCs w:val="32"/>
          <w:highlight w:val="none"/>
        </w:rPr>
        <w:t>80周岁及以上高龄津贴，</w:t>
      </w:r>
      <w:r>
        <w:rPr>
          <w:rFonts w:hint="eastAsia"/>
          <w:color w:val="auto"/>
          <w:kern w:val="2"/>
          <w:szCs w:val="32"/>
          <w:highlight w:val="none"/>
          <w:lang w:val="en-US" w:eastAsia="zh-CN"/>
        </w:rPr>
        <w:t>确保</w:t>
      </w:r>
      <w:r>
        <w:rPr>
          <w:rFonts w:hint="eastAsia"/>
          <w:color w:val="auto"/>
          <w:kern w:val="2"/>
          <w:szCs w:val="32"/>
          <w:highlight w:val="none"/>
        </w:rPr>
        <w:t>高龄津贴、经济困难老年人两项补贴精准足额发放。积极推动老年友好型社区建设工作，更好地满足老年人各方面的需要。进一步优化养老服务营商环境，落实基本养老服务清单</w:t>
      </w:r>
      <w:r>
        <w:rPr>
          <w:rFonts w:hint="eastAsia"/>
          <w:color w:val="auto"/>
          <w:kern w:val="2"/>
          <w:szCs w:val="32"/>
          <w:highlight w:val="none"/>
          <w:lang w:val="en-US" w:eastAsia="zh-CN"/>
        </w:rPr>
        <w:t>与</w:t>
      </w:r>
      <w:r>
        <w:rPr>
          <w:rFonts w:hint="eastAsia"/>
          <w:color w:val="auto"/>
          <w:kern w:val="2"/>
          <w:szCs w:val="32"/>
          <w:highlight w:val="none"/>
        </w:rPr>
        <w:t>扶持政策，扩大普惠养老服务供给</w:t>
      </w:r>
      <w:r>
        <w:rPr>
          <w:rFonts w:hint="eastAsia"/>
          <w:color w:val="auto"/>
          <w:kern w:val="2"/>
          <w:szCs w:val="32"/>
          <w:highlight w:val="none"/>
          <w:lang w:eastAsia="zh-CN"/>
        </w:rPr>
        <w:t>。积极发展“银发经济”，推动养老产业全产业链发展，</w:t>
      </w:r>
      <w:r>
        <w:rPr>
          <w:rFonts w:hint="eastAsia"/>
          <w:color w:val="auto"/>
          <w:kern w:val="2"/>
          <w:szCs w:val="32"/>
          <w:highlight w:val="none"/>
        </w:rPr>
        <w:t>拓展旅居、文化、健康养老等新型消费领域。</w:t>
      </w:r>
    </w:p>
    <w:p w14:paraId="3C55C55B">
      <w:pPr>
        <w:shd w:val="clear"/>
        <w:ind w:firstLine="640" w:firstLineChars="200"/>
        <w:rPr>
          <w:rFonts w:hint="eastAsia" w:ascii="仿宋_GB2312" w:hAnsi="仿宋_GB2312" w:eastAsia="仿宋_GB2312" w:cs="仿宋_GB2312"/>
          <w:color w:val="auto"/>
          <w:sz w:val="36"/>
          <w:szCs w:val="36"/>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（二）完善广覆盖医疗保险体系。</w:t>
      </w:r>
      <w:r>
        <w:rPr>
          <w:rFonts w:hint="eastAsia" w:ascii="仿宋_GB2312" w:hAnsi="仿宋_GB2312" w:eastAsia="仿宋_GB2312" w:cs="仿宋_GB2312"/>
          <w:b w:val="0"/>
          <w:bCs w:val="0"/>
          <w:color w:val="auto"/>
          <w:spacing w:val="0"/>
          <w:kern w:val="2"/>
          <w:sz w:val="32"/>
          <w:szCs w:val="32"/>
          <w:highlight w:val="none"/>
          <w:lang w:val="en-US" w:eastAsia="zh-CN"/>
        </w:rPr>
        <w:t>持续深入开展“全民参保计划”，巩固基本养老保险主体地位，推动实现法定人员全覆盖，构建多层次、多支柱养老保险体系。</w:t>
      </w:r>
      <w:r>
        <w:rPr>
          <w:rFonts w:hint="eastAsia"/>
          <w:color w:val="auto"/>
          <w:kern w:val="2"/>
          <w:szCs w:val="32"/>
          <w:highlight w:val="none"/>
        </w:rPr>
        <w:t>规范</w:t>
      </w:r>
      <w:r>
        <w:rPr>
          <w:rFonts w:hint="eastAsia"/>
          <w:color w:val="auto"/>
          <w:kern w:val="2"/>
          <w:szCs w:val="32"/>
          <w:highlight w:val="none"/>
          <w:lang w:val="en-US" w:eastAsia="zh-CN"/>
        </w:rPr>
        <w:t>落实</w:t>
      </w:r>
      <w:r>
        <w:rPr>
          <w:rFonts w:hint="eastAsia"/>
          <w:color w:val="auto"/>
          <w:kern w:val="2"/>
          <w:szCs w:val="32"/>
          <w:highlight w:val="none"/>
        </w:rPr>
        <w:t>基本医保、大病保险、医疗救助“三重保障”</w:t>
      </w:r>
      <w:r>
        <w:rPr>
          <w:rFonts w:hint="eastAsia"/>
          <w:color w:val="auto"/>
          <w:kern w:val="2"/>
          <w:szCs w:val="32"/>
          <w:highlight w:val="none"/>
          <w:lang w:val="en-US" w:eastAsia="zh-CN"/>
        </w:rPr>
        <w:t>及</w:t>
      </w:r>
      <w:r>
        <w:rPr>
          <w:rFonts w:hint="eastAsia"/>
          <w:color w:val="auto"/>
          <w:kern w:val="2"/>
          <w:szCs w:val="32"/>
          <w:highlight w:val="none"/>
        </w:rPr>
        <w:t>门诊慢特病和“两病”用药保障。完善跨部门协调机制，确保困难群众100%参保。强化DRG支付绩效管理与运行监测，引导医疗机构规范使用基金。巩固提升区</w:t>
      </w:r>
      <w:r>
        <w:rPr>
          <w:rFonts w:hint="eastAsia"/>
          <w:color w:val="auto"/>
          <w:kern w:val="2"/>
          <w:szCs w:val="32"/>
          <w:highlight w:val="none"/>
          <w:lang w:eastAsia="zh-CN"/>
        </w:rPr>
        <w:t>街道（镇）</w:t>
      </w:r>
      <w:r>
        <w:rPr>
          <w:rFonts w:hint="eastAsia"/>
          <w:color w:val="auto"/>
          <w:kern w:val="2"/>
          <w:szCs w:val="32"/>
          <w:highlight w:val="none"/>
        </w:rPr>
        <w:t>村三级经办体系，扩容医保“15分钟服务圈”。巩固异地就医费用直接结算率，提升群众异地就医获得感。推动“一件事一次办”和“线上办”，抓实医保适老服务。扩大企业年金和个人养老金覆盖面</w:t>
      </w:r>
      <w:r>
        <w:rPr>
          <w:rFonts w:hint="eastAsia"/>
          <w:color w:val="auto"/>
          <w:kern w:val="2"/>
          <w:szCs w:val="32"/>
          <w:highlight w:val="none"/>
          <w:lang w:eastAsia="zh-CN"/>
        </w:rPr>
        <w:t>，平稳有序落实企业职工基本养老保险全国统筹、失业保险省级统筹改革任务。</w:t>
      </w:r>
      <w:r>
        <w:rPr>
          <w:rFonts w:hint="eastAsia" w:ascii="仿宋_GB2312" w:hAnsi="仿宋_GB2312" w:eastAsia="仿宋_GB2312" w:cs="仿宋_GB2312"/>
          <w:color w:val="auto"/>
          <w:kern w:val="2"/>
          <w:sz w:val="32"/>
          <w:szCs w:val="32"/>
          <w:highlight w:val="none"/>
          <w:lang w:val="en-US" w:eastAsia="zh-CN"/>
        </w:rPr>
        <w:t>落实</w:t>
      </w:r>
      <w:r>
        <w:rPr>
          <w:rFonts w:hint="eastAsia" w:ascii="仿宋_GB2312" w:hAnsi="仿宋_GB2312" w:eastAsia="仿宋_GB2312" w:cs="仿宋_GB2312"/>
          <w:color w:val="auto"/>
          <w:kern w:val="2"/>
          <w:sz w:val="32"/>
          <w:szCs w:val="32"/>
          <w:highlight w:val="none"/>
        </w:rPr>
        <w:t>职业伤害保障</w:t>
      </w:r>
      <w:r>
        <w:rPr>
          <w:rFonts w:hint="eastAsia" w:ascii="仿宋_GB2312" w:hAnsi="仿宋_GB2312" w:eastAsia="仿宋_GB2312" w:cs="仿宋_GB2312"/>
          <w:color w:val="auto"/>
          <w:kern w:val="2"/>
          <w:sz w:val="32"/>
          <w:szCs w:val="32"/>
          <w:highlight w:val="none"/>
          <w:lang w:val="en-US" w:eastAsia="zh-CN"/>
        </w:rPr>
        <w:t>工作</w:t>
      </w:r>
      <w:r>
        <w:rPr>
          <w:rFonts w:hint="eastAsia" w:ascii="仿宋_GB2312" w:hAnsi="仿宋_GB2312" w:eastAsia="仿宋_GB2312" w:cs="仿宋_GB2312"/>
          <w:color w:val="auto"/>
          <w:kern w:val="2"/>
          <w:sz w:val="32"/>
          <w:szCs w:val="32"/>
          <w:highlight w:val="none"/>
        </w:rPr>
        <w:t>，解决快递员、网约车司机等灵活就业人员的职业伤害保障问题</w:t>
      </w:r>
      <w:r>
        <w:rPr>
          <w:rFonts w:hint="eastAsia" w:ascii="仿宋_GB2312" w:hAnsi="仿宋_GB2312" w:eastAsia="仿宋_GB2312" w:cs="仿宋_GB2312"/>
          <w:color w:val="auto"/>
          <w:kern w:val="2"/>
          <w:sz w:val="32"/>
          <w:szCs w:val="32"/>
          <w:highlight w:val="none"/>
          <w:lang w:eastAsia="zh-CN"/>
        </w:rPr>
        <w:t>。</w:t>
      </w:r>
    </w:p>
    <w:p w14:paraId="4B86BD3A">
      <w:pPr>
        <w:widowControl/>
        <w:shd w:val="clear"/>
        <w:spacing w:line="600" w:lineRule="exact"/>
        <w:ind w:firstLine="640" w:firstLineChars="200"/>
        <w:jc w:val="left"/>
        <w:rPr>
          <w:rFonts w:hint="eastAsia"/>
          <w:color w:val="auto"/>
          <w:kern w:val="2"/>
          <w:szCs w:val="32"/>
          <w:highlight w:val="none"/>
          <w:lang w:eastAsia="zh-CN"/>
        </w:rPr>
      </w:pPr>
      <w:r>
        <w:rPr>
          <w:rFonts w:hint="eastAsia" w:ascii="楷体_GB2312" w:hAnsi="楷体_GB2312" w:eastAsia="楷体_GB2312" w:cs="楷体_GB2312"/>
          <w:b w:val="0"/>
          <w:bCs w:val="0"/>
          <w:color w:val="auto"/>
          <w:spacing w:val="0"/>
          <w:sz w:val="32"/>
          <w:szCs w:val="32"/>
          <w:highlight w:val="none"/>
          <w:lang w:val="en-US" w:eastAsia="zh-CN"/>
        </w:rPr>
        <w:t>（三）完善重点群体社会保障服务体系。</w:t>
      </w:r>
      <w:r>
        <w:rPr>
          <w:rFonts w:hint="eastAsia" w:ascii="仿宋_GB2312" w:hAnsi="宋体" w:eastAsia="仿宋_GB2312" w:cs="宋体"/>
          <w:color w:val="auto"/>
          <w:kern w:val="0"/>
          <w:sz w:val="32"/>
          <w:szCs w:val="32"/>
          <w:highlight w:val="none"/>
        </w:rPr>
        <w:t>针对低保对象、</w:t>
      </w:r>
      <w:r>
        <w:rPr>
          <w:rFonts w:hint="eastAsia" w:ascii="仿宋_GB2312" w:hAnsi="宋体" w:eastAsia="仿宋_GB2312" w:cs="宋体"/>
          <w:color w:val="auto"/>
          <w:kern w:val="0"/>
          <w:sz w:val="32"/>
          <w:szCs w:val="32"/>
          <w:highlight w:val="none"/>
          <w:lang w:val="en-US" w:eastAsia="zh-CN"/>
        </w:rPr>
        <w:t>失业人员</w:t>
      </w:r>
      <w:r>
        <w:rPr>
          <w:rFonts w:hint="eastAsia" w:ascii="仿宋_GB2312" w:hAnsi="宋体" w:eastAsia="仿宋_GB2312" w:cs="宋体"/>
          <w:color w:val="auto"/>
          <w:kern w:val="0"/>
          <w:sz w:val="32"/>
          <w:szCs w:val="32"/>
          <w:highlight w:val="none"/>
        </w:rPr>
        <w:t>、残疾人、困境儿童等重点群体，强化动态监测，确保及时纳入保障范围并实施精准救助。</w:t>
      </w:r>
      <w:r>
        <w:rPr>
          <w:rFonts w:hint="eastAsia" w:ascii="仿宋_GB2312" w:hAnsi="宋体" w:eastAsia="仿宋_GB2312" w:cs="宋体"/>
          <w:color w:val="auto"/>
          <w:kern w:val="0"/>
          <w:sz w:val="32"/>
          <w:szCs w:val="32"/>
          <w:highlight w:val="none"/>
          <w:lang w:val="en-US" w:eastAsia="zh-CN"/>
        </w:rPr>
        <w:t>加大妇女权益保障力度，强化</w:t>
      </w:r>
      <w:r>
        <w:rPr>
          <w:rFonts w:hint="eastAsia" w:ascii="仿宋_GB2312" w:hAnsi="宋体" w:eastAsia="仿宋_GB2312" w:cs="宋体"/>
          <w:color w:val="auto"/>
          <w:kern w:val="0"/>
          <w:sz w:val="32"/>
          <w:szCs w:val="32"/>
          <w:highlight w:val="none"/>
        </w:rPr>
        <w:t>孕产妇群体特殊权益保障</w:t>
      </w:r>
      <w:r>
        <w:rPr>
          <w:rFonts w:hint="eastAsia" w:ascii="仿宋_GB2312" w:hAnsi="宋体" w:eastAsia="仿宋_GB2312" w:cs="宋体"/>
          <w:color w:val="auto"/>
          <w:kern w:val="0"/>
          <w:sz w:val="32"/>
          <w:szCs w:val="32"/>
          <w:highlight w:val="none"/>
          <w:lang w:val="en-US" w:eastAsia="zh-CN"/>
        </w:rPr>
        <w:t>，</w:t>
      </w:r>
      <w:r>
        <w:rPr>
          <w:rFonts w:hint="eastAsia" w:ascii="仿宋_GB2312" w:hAnsi="宋体" w:eastAsia="仿宋_GB2312" w:cs="宋体"/>
          <w:color w:val="auto"/>
          <w:kern w:val="0"/>
          <w:sz w:val="32"/>
          <w:szCs w:val="32"/>
          <w:highlight w:val="none"/>
        </w:rPr>
        <w:t>扩大农村和城镇低保适龄妇女“两癌”免费检查和救助覆盖面。持续巩固</w:t>
      </w:r>
      <w:r>
        <w:rPr>
          <w:rFonts w:hint="eastAsia" w:hAnsi="宋体" w:cs="宋体"/>
          <w:color w:val="auto"/>
          <w:kern w:val="0"/>
          <w:sz w:val="32"/>
          <w:szCs w:val="32"/>
          <w:highlight w:val="none"/>
          <w:lang w:val="en-US" w:eastAsia="zh-CN"/>
        </w:rPr>
        <w:t>拓展</w:t>
      </w:r>
      <w:r>
        <w:rPr>
          <w:rFonts w:hint="eastAsia" w:hAnsi="宋体" w:cs="宋体"/>
          <w:color w:val="auto"/>
          <w:kern w:val="0"/>
          <w:sz w:val="32"/>
          <w:szCs w:val="32"/>
          <w:highlight w:val="none"/>
          <w:lang w:eastAsia="zh-CN"/>
        </w:rPr>
        <w:t>脱贫攻坚成果</w:t>
      </w:r>
      <w:r>
        <w:rPr>
          <w:rFonts w:hint="eastAsia" w:ascii="仿宋_GB2312" w:hAnsi="宋体" w:eastAsia="仿宋_GB2312" w:cs="宋体"/>
          <w:color w:val="auto"/>
          <w:kern w:val="0"/>
          <w:sz w:val="32"/>
          <w:szCs w:val="32"/>
          <w:highlight w:val="none"/>
        </w:rPr>
        <w:t>，推动社会救助与乡村振兴衔接，精准对接农村重点群体保障需求。健全完善分层分类救助体系，精准匹配救助政策，实现差异化兜底保障。健全救助机制，促进信息共享、效能提升，实现精准、高效、温暖、智慧救助，兜牢基本生活底线。</w:t>
      </w:r>
    </w:p>
    <w:p w14:paraId="399C9430">
      <w:pPr>
        <w:keepNext w:val="0"/>
        <w:keepLines w:val="0"/>
        <w:pageBreakBefore w:val="0"/>
        <w:widowControl w:val="0"/>
        <w:shd w:val="clear"/>
        <w:kinsoku/>
        <w:wordWrap/>
        <w:overflowPunct w:val="0"/>
        <w:topLinePunct w:val="0"/>
        <w:autoSpaceDE/>
        <w:autoSpaceDN/>
        <w:bidi w:val="0"/>
        <w:adjustRightInd w:val="0"/>
        <w:snapToGrid w:val="0"/>
        <w:textAlignment w:val="auto"/>
        <w:rPr>
          <w:rFonts w:hint="eastAsia" w:ascii="仿宋_GB2312" w:hAnsi="宋体" w:cs="仿宋_GB2312"/>
          <w:color w:val="auto"/>
          <w:kern w:val="0"/>
          <w:sz w:val="32"/>
          <w:szCs w:val="32"/>
          <w:highlight w:val="none"/>
          <w:lang w:val="en-US" w:eastAsia="zh-CN" w:bidi="ar"/>
        </w:rPr>
      </w:pPr>
      <w:r>
        <w:rPr>
          <w:rFonts w:hint="eastAsia" w:ascii="楷体_GB2312" w:hAnsi="楷体_GB2312" w:eastAsia="楷体_GB2312" w:cs="楷体_GB2312"/>
          <w:color w:val="auto"/>
          <w:kern w:val="2"/>
          <w:szCs w:val="32"/>
          <w:highlight w:val="none"/>
          <w:lang w:val="en-US" w:eastAsia="zh-CN"/>
        </w:rPr>
        <w:t>（四）构建多层次社会保障体系。</w:t>
      </w:r>
      <w:r>
        <w:rPr>
          <w:rFonts w:hint="eastAsia" w:ascii="仿宋_GB2312" w:hAnsi="仿宋_GB2312" w:eastAsia="仿宋_GB2312" w:cs="仿宋_GB2312"/>
          <w:color w:val="auto"/>
          <w:kern w:val="2"/>
          <w:szCs w:val="32"/>
          <w:highlight w:val="none"/>
          <w:lang w:val="en-US" w:eastAsia="zh-CN"/>
        </w:rPr>
        <w:t>完善以公共租赁住房、保障性租赁住房为主体的住房保障体系，扩大对新市民、青年人等群体的保障覆盖面，优化房源供给结构与空间布局。用好全国灵活就业人员缴存使用公积金试点，弹性调整公积金使用政策。</w:t>
      </w:r>
      <w:r>
        <w:rPr>
          <w:rFonts w:hint="eastAsia"/>
          <w:color w:val="auto"/>
          <w:kern w:val="2"/>
          <w:szCs w:val="32"/>
          <w:highlight w:val="none"/>
          <w:lang w:val="en-US" w:eastAsia="zh-CN"/>
        </w:rPr>
        <w:t>加大存量房收购力度，建立“房源池-资金池-运营池”联动机制，支持收购存量房用于人才公寓、租赁住房、共有产权房等多元化用途。</w:t>
      </w:r>
      <w:r>
        <w:rPr>
          <w:rFonts w:hint="eastAsia"/>
          <w:color w:val="auto"/>
          <w:highlight w:val="none"/>
          <w:lang w:val="en-US" w:eastAsia="zh-CN"/>
        </w:rPr>
        <w:t>深化殡葬改革，加强公墓规划建设管理，</w:t>
      </w:r>
      <w:r>
        <w:rPr>
          <w:rFonts w:hint="eastAsia"/>
          <w:color w:val="auto"/>
          <w:kern w:val="2"/>
          <w:szCs w:val="32"/>
          <w:highlight w:val="none"/>
          <w:lang w:val="en-US" w:eastAsia="zh-CN"/>
        </w:rPr>
        <w:t>推进农村公益性殡葬服务设施建设。构建互嵌式社会结构和社区环境，</w:t>
      </w:r>
      <w:r>
        <w:rPr>
          <w:rFonts w:hint="eastAsia" w:ascii="仿宋_GB2312" w:hAnsi="宋体" w:cs="仿宋_GB2312"/>
          <w:color w:val="auto"/>
          <w:kern w:val="0"/>
          <w:sz w:val="32"/>
          <w:szCs w:val="32"/>
          <w:highlight w:val="none"/>
          <w:lang w:val="en-US" w:eastAsia="zh-CN" w:bidi="ar"/>
        </w:rPr>
        <w:t>推动不同民族、群体在居住空间、文化生活、经济活动、社会关系及心理认同等层面深度融合，将民族团结与基层治理、民生改善相结合，推动各族群众共居共学、共建共享、共事共乐。丰富企业、社会组织和个人参与慈善事业渠道，营造全社会关心关爱慈善公益事业良好氛围。</w:t>
      </w:r>
    </w:p>
    <w:p w14:paraId="06CFC561">
      <w:pPr>
        <w:keepNext w:val="0"/>
        <w:keepLines w:val="0"/>
        <w:pageBreakBefore w:val="0"/>
        <w:widowControl w:val="0"/>
        <w:shd w:val="clear"/>
        <w:kinsoku/>
        <w:wordWrap/>
        <w:overflowPunct w:val="0"/>
        <w:topLinePunct w:val="0"/>
        <w:autoSpaceDE/>
        <w:autoSpaceDN/>
        <w:bidi w:val="0"/>
        <w:spacing w:beforeLines="0" w:afterLines="0"/>
        <w:ind w:firstLineChars="200"/>
        <w:jc w:val="both"/>
        <w:textAlignment w:val="auto"/>
        <w:outlineLvl w:val="1"/>
        <w:rPr>
          <w:rFonts w:hint="eastAsia" w:ascii="黑体" w:hAnsi="黑体" w:eastAsia="黑体" w:cs="黑体"/>
          <w:color w:val="auto"/>
          <w:szCs w:val="32"/>
          <w:highlight w:val="none"/>
          <w:lang w:val="en-US" w:eastAsia="zh-CN"/>
        </w:rPr>
      </w:pPr>
      <w:bookmarkStart w:id="392" w:name="_Toc15990"/>
      <w:bookmarkStart w:id="393" w:name="_Toc10193"/>
      <w:r>
        <w:rPr>
          <w:rFonts w:hint="eastAsia" w:ascii="黑体" w:hAnsi="黑体" w:eastAsia="黑体" w:cs="黑体"/>
          <w:color w:val="auto"/>
          <w:szCs w:val="32"/>
          <w:highlight w:val="none"/>
          <w:lang w:val="en-US" w:eastAsia="zh-CN"/>
        </w:rPr>
        <w:t>五、推进全龄友好城区发展</w:t>
      </w:r>
      <w:bookmarkEnd w:id="392"/>
      <w:bookmarkEnd w:id="393"/>
    </w:p>
    <w:p w14:paraId="53184FD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color w:val="auto"/>
          <w:kern w:val="2"/>
          <w:szCs w:val="32"/>
          <w:highlight w:val="none"/>
          <w:lang w:val="en-US" w:eastAsia="zh-CN"/>
        </w:rPr>
        <w:t>聚焦全龄群体生命周期需求，健全覆盖生育支持、妇女儿童关爱、青年发展、老幼保障的服务体系，增强区域发展的包容性与亲和力，推动民生福祉、社会和谐与区域发展相统一。</w:t>
      </w:r>
    </w:p>
    <w:p w14:paraId="41EB7B02">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（一）健全完善生育保障体系。</w:t>
      </w:r>
      <w:r>
        <w:rPr>
          <w:rFonts w:hint="eastAsia"/>
          <w:color w:val="auto"/>
          <w:kern w:val="2"/>
          <w:szCs w:val="32"/>
          <w:highlight w:val="none"/>
          <w:lang w:val="en-US" w:eastAsia="zh-CN"/>
        </w:rPr>
        <w:t>强化生育支持，以生育友好型城市建设为基础，完善政府主导的生育成本共担机制，强化政策激励效应。推进婚育文化创新，依托济阳“闻韶圣地”文化底蕴，推进婚姻家庭辅导“五进”活动，将新型婚育观融入社区治理，培育新型婚育文化，谋划打造“生育友好示范社区”。完善托育补贴与医保协同机制，在回河等人口导入区布局社区嵌入式托育中心，鼓励企业探索“园区托育”，同步推广家庭托育点备案制，构建专业机构、企业、家庭协同的多元化供给体系。</w:t>
      </w:r>
    </w:p>
    <w:p w14:paraId="65B27961">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（二）建设普惠育幼服务体系。</w:t>
      </w:r>
      <w:r>
        <w:rPr>
          <w:rFonts w:hint="eastAsia"/>
          <w:color w:val="auto"/>
          <w:kern w:val="2"/>
          <w:szCs w:val="32"/>
          <w:highlight w:val="none"/>
          <w:lang w:val="en-US" w:eastAsia="zh-CN"/>
        </w:rPr>
        <w:t>落实孤儿、事实无人抚养儿童、重点困境儿童等基本生活保障制度及动态调整机制。健全困境儿童关爱体系，加强信息摸排、动态监测和精准帮扶，提升服务标准化、专业化水平。打造儿童友好空间，践行“一米高度看城市”理念，在公共空间增设儿童活动区，优化适儿化设计，谋划推动“黄河农耕风情”主题儿童友好场景落地。</w:t>
      </w:r>
    </w:p>
    <w:p w14:paraId="221AA944">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（三）完善青年发展支持体系。</w:t>
      </w:r>
      <w:r>
        <w:rPr>
          <w:rFonts w:hint="eastAsia"/>
          <w:color w:val="auto"/>
          <w:kern w:val="2"/>
          <w:szCs w:val="32"/>
          <w:highlight w:val="none"/>
          <w:lang w:val="en-US" w:eastAsia="zh-CN"/>
        </w:rPr>
        <w:t>聚焦青年成长发展需要，</w:t>
      </w:r>
      <w:r>
        <w:rPr>
          <w:rFonts w:hint="eastAsia"/>
        </w:rPr>
        <w:t>完善青年发展促进政策，更好满足青年</w:t>
      </w:r>
      <w:r>
        <w:rPr>
          <w:rFonts w:hint="eastAsia"/>
          <w:lang w:val="en-US" w:eastAsia="zh-CN"/>
        </w:rPr>
        <w:t>在</w:t>
      </w:r>
      <w:r>
        <w:rPr>
          <w:rFonts w:hint="eastAsia"/>
        </w:rPr>
        <w:t>学业、就业、创业、生活等多层次、多元化发展需求，</w:t>
      </w:r>
      <w:r>
        <w:rPr>
          <w:rFonts w:hint="eastAsia"/>
          <w:lang w:val="en-US" w:eastAsia="zh-CN"/>
        </w:rPr>
        <w:t>擦</w:t>
      </w:r>
      <w:r>
        <w:rPr>
          <w:rFonts w:hint="eastAsia" w:cs="Times New Roman"/>
          <w:lang w:val="en-US" w:eastAsia="zh-CN"/>
        </w:rPr>
        <w:t>亮</w:t>
      </w:r>
      <w:r>
        <w:rPr>
          <w:rFonts w:hint="eastAsia" w:cs="Times New Roman"/>
          <w:lang w:eastAsia="zh-CN"/>
        </w:rPr>
        <w:t>“</w:t>
      </w:r>
      <w:r>
        <w:rPr>
          <w:rFonts w:hint="eastAsia" w:cs="Times New Roman"/>
          <w:lang w:val="en-US" w:eastAsia="zh-CN"/>
        </w:rPr>
        <w:t>青春济阳</w:t>
      </w:r>
      <w:r>
        <w:rPr>
          <w:rFonts w:hint="eastAsia" w:cs="Times New Roman"/>
          <w:lang w:eastAsia="zh-CN"/>
        </w:rPr>
        <w:t>”品牌。</w:t>
      </w:r>
      <w:r>
        <w:rPr>
          <w:rFonts w:hint="eastAsia"/>
          <w:color w:val="auto"/>
          <w:kern w:val="2"/>
          <w:szCs w:val="32"/>
          <w:highlight w:val="none"/>
          <w:lang w:val="en-US" w:eastAsia="zh-CN"/>
        </w:rPr>
        <w:t>筑牢青年思想根基，强化理论武装，</w:t>
      </w:r>
      <w:r>
        <w:rPr>
          <w:rFonts w:hint="eastAsia" w:cs="Times New Roman"/>
          <w:lang w:val="en-US" w:eastAsia="zh-CN"/>
        </w:rPr>
        <w:t>深耕</w:t>
      </w:r>
      <w:r>
        <w:rPr>
          <w:rFonts w:hint="eastAsia" w:cs="Times New Roman"/>
          <w:lang w:eastAsia="zh-CN"/>
        </w:rPr>
        <w:t>“青年马克思主义者培养”工程，做强“青年大学习”品牌，</w:t>
      </w:r>
      <w:r>
        <w:rPr>
          <w:rFonts w:hint="eastAsia"/>
          <w:color w:val="auto"/>
          <w:kern w:val="2"/>
          <w:szCs w:val="32"/>
          <w:highlight w:val="none"/>
          <w:lang w:val="en-US" w:eastAsia="zh-CN"/>
        </w:rPr>
        <w:t>推动党的创新理论融入青年话语体系，健全党团队一体化育人链条。赋能青年全面发展，推进“引凤回巢”“百万大学生进社区”等聚才项目，优化人才服务全链条；实施青年优居计划，依托“优徕青年社区”等载体，助力安居乐业；</w:t>
      </w:r>
      <w:r>
        <w:rPr>
          <w:rFonts w:hint="eastAsia"/>
          <w:lang w:val="en-US" w:eastAsia="zh-CN"/>
        </w:rPr>
        <w:t>推进</w:t>
      </w:r>
      <w:r>
        <w:rPr>
          <w:rFonts w:hint="eastAsia"/>
        </w:rPr>
        <w:t>“村村都有好青年”</w:t>
      </w:r>
      <w:r>
        <w:rPr>
          <w:rFonts w:hint="eastAsia"/>
          <w:lang w:val="en-US" w:eastAsia="zh-CN"/>
        </w:rPr>
        <w:t>培养</w:t>
      </w:r>
      <w:r>
        <w:rPr>
          <w:rFonts w:hint="eastAsia"/>
        </w:rPr>
        <w:t>，</w:t>
      </w:r>
      <w:r>
        <w:rPr>
          <w:rFonts w:hint="eastAsia"/>
          <w:color w:val="auto"/>
          <w:kern w:val="2"/>
          <w:szCs w:val="32"/>
          <w:highlight w:val="none"/>
          <w:lang w:val="en-US" w:eastAsia="zh-CN"/>
        </w:rPr>
        <w:t>支持青年参与乡村振兴。</w:t>
      </w:r>
      <w:r>
        <w:rPr>
          <w:rFonts w:hint="eastAsia"/>
        </w:rPr>
        <w:t>深化新时代青年统战工作，拓展青年对外交流交往渠道。</w:t>
      </w:r>
      <w:r>
        <w:rPr>
          <w:rFonts w:hint="eastAsia"/>
          <w:color w:val="auto"/>
          <w:kern w:val="2"/>
          <w:szCs w:val="32"/>
          <w:highlight w:val="none"/>
          <w:lang w:val="en-US" w:eastAsia="zh-CN"/>
        </w:rPr>
        <w:t>健全青少年权益保护与社会支持体系，提升法治素养与自护能力，保障其合法权益</w:t>
      </w:r>
      <w:r>
        <w:rPr>
          <w:rFonts w:hint="eastAsia" w:ascii="仿宋_GB2312" w:hAnsi="仿宋_GB2312" w:eastAsia="仿宋_GB2312" w:cs="仿宋_GB2312"/>
          <w:color w:val="auto"/>
          <w:sz w:val="32"/>
          <w:szCs w:val="32"/>
          <w:highlight w:val="none"/>
          <w:lang w:val="en-US" w:eastAsia="zh-CN"/>
        </w:rPr>
        <w:t>。</w:t>
      </w:r>
    </w:p>
    <w:p w14:paraId="0CC7999A">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（四）深化“一老一小”服务保障。</w:t>
      </w:r>
      <w:r>
        <w:rPr>
          <w:rFonts w:hint="eastAsia"/>
          <w:color w:val="auto"/>
          <w:kern w:val="2"/>
          <w:szCs w:val="32"/>
          <w:highlight w:val="none"/>
          <w:lang w:val="en-US" w:eastAsia="zh-CN"/>
        </w:rPr>
        <w:t>深化“区-街道（镇）-村（居）-居家”四级养老服务网络建设，实施居家社区扩围增效行动，发展社区嵌入式养老服务，探索建设“长者食堂”，探索适当收费和村级补贴模式。推进医养康养</w:t>
      </w:r>
      <w:bookmarkStart w:id="449" w:name="_GoBack"/>
      <w:bookmarkEnd w:id="449"/>
      <w:r>
        <w:rPr>
          <w:rFonts w:hint="eastAsia"/>
          <w:color w:val="auto"/>
          <w:kern w:val="2"/>
          <w:szCs w:val="32"/>
          <w:highlight w:val="none"/>
          <w:lang w:val="en-US" w:eastAsia="zh-CN"/>
        </w:rPr>
        <w:t>结合，依托区中医医院改扩建项目，新增医养床位500张，强化失能照护服务，同步推广家庭养老床位与智慧监护并行模式。积极引入社会力量，</w:t>
      </w:r>
      <w:r>
        <w:rPr>
          <w:rFonts w:hint="eastAsia"/>
          <w:b w:val="0"/>
          <w:bCs w:val="0"/>
          <w:color w:val="auto"/>
          <w:kern w:val="2"/>
          <w:szCs w:val="32"/>
          <w:highlight w:val="none"/>
          <w:lang w:val="en-US" w:eastAsia="zh-CN"/>
        </w:rPr>
        <w:t>在滨河片区周边规划布局高端养老服务机构，</w:t>
      </w:r>
      <w:r>
        <w:rPr>
          <w:rFonts w:hint="eastAsia"/>
          <w:color w:val="auto"/>
          <w:kern w:val="2"/>
          <w:szCs w:val="32"/>
          <w:highlight w:val="none"/>
          <w:lang w:val="en-US" w:eastAsia="zh-CN"/>
        </w:rPr>
        <w:t>满足多层次、高品质养老需求。加强儿童福利保障，推进儿童友好社区建设，织密“一老一小”民生保障网。探索“一老一小”服务资源共享机制，探索学前教育设施与养老设施空间共用，促进公共资源高效配置。</w:t>
      </w:r>
    </w:p>
    <w:p w14:paraId="3C2076E7">
      <w:pPr>
        <w:rPr>
          <w:rFonts w:hint="eastAsia"/>
          <w:color w:val="auto"/>
          <w:kern w:val="2"/>
          <w:szCs w:val="32"/>
          <w:highlight w:val="none"/>
          <w:lang w:val="en-US" w:eastAsia="zh-CN"/>
        </w:rPr>
      </w:pPr>
      <w:r>
        <w:rPr>
          <w:rFonts w:hint="eastAsia"/>
          <w:color w:val="auto"/>
          <w:kern w:val="2"/>
          <w:szCs w:val="32"/>
          <w:highlight w:val="none"/>
          <w:lang w:val="en-US" w:eastAsia="zh-CN"/>
        </w:rPr>
        <w:br w:type="page"/>
      </w:r>
    </w:p>
    <w:p w14:paraId="44A7FE65">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p>
    <w:bookmarkEnd w:id="367"/>
    <w:bookmarkEnd w:id="368"/>
    <w:bookmarkEnd w:id="369"/>
    <w:bookmarkEnd w:id="370"/>
    <w:bookmarkEnd w:id="371"/>
    <w:bookmarkEnd w:id="372"/>
    <w:bookmarkEnd w:id="373"/>
    <w:p w14:paraId="048EE6C4">
      <w:pPr>
        <w:keepNext w:val="0"/>
        <w:keepLines w:val="0"/>
        <w:pageBreakBefore w:val="0"/>
        <w:widowControl w:val="0"/>
        <w:shd w:val="clear"/>
        <w:kinsoku/>
        <w:wordWrap/>
        <w:overflowPunct w:val="0"/>
        <w:topLinePunct w:val="0"/>
        <w:autoSpaceDE/>
        <w:autoSpaceDN/>
        <w:bidi w:val="0"/>
        <w:adjustRightInd/>
        <w:snapToGrid/>
        <w:spacing w:before="157" w:beforeLines="50" w:after="157" w:afterLines="50" w:line="600" w:lineRule="exact"/>
        <w:ind w:left="0" w:leftChars="0" w:right="0" w:rightChars="0" w:firstLine="0" w:firstLineChars="0"/>
        <w:jc w:val="center"/>
        <w:textAlignment w:val="auto"/>
        <w:outlineLvl w:val="0"/>
        <w:rPr>
          <w:rFonts w:hint="eastAsia" w:ascii="方正小标宋简体" w:hAnsi="方正小标宋简体" w:eastAsia="方正小标宋简体" w:cs="方正小标宋简体"/>
          <w:color w:val="auto"/>
          <w:kern w:val="2"/>
          <w:szCs w:val="24"/>
          <w:highlight w:val="none"/>
          <w:lang w:val="en-US" w:eastAsia="zh-CN"/>
        </w:rPr>
      </w:pPr>
      <w:bookmarkStart w:id="394" w:name="_Toc20077"/>
      <w:bookmarkStart w:id="395" w:name="_Toc2781"/>
      <w:bookmarkStart w:id="396" w:name="_Toc27732"/>
      <w:bookmarkStart w:id="397" w:name="_Toc29353"/>
      <w:bookmarkStart w:id="398" w:name="_Toc9078"/>
      <w:bookmarkStart w:id="399" w:name="_Toc17103"/>
      <w:bookmarkStart w:id="400" w:name="_Toc32395"/>
      <w:bookmarkStart w:id="401" w:name="_Toc3219"/>
      <w:r>
        <w:rPr>
          <w:rFonts w:hint="eastAsia" w:ascii="方正小标宋简体" w:hAnsi="方正小标宋简体" w:eastAsia="方正小标宋简体" w:cs="方正小标宋简体"/>
          <w:color w:val="auto"/>
          <w:kern w:val="2"/>
          <w:szCs w:val="24"/>
          <w:highlight w:val="none"/>
          <w:lang w:val="en-US" w:eastAsia="zh-CN"/>
        </w:rPr>
        <w:t>第十二章  统筹发展和安全，</w:t>
      </w:r>
      <w:bookmarkEnd w:id="394"/>
      <w:bookmarkEnd w:id="395"/>
      <w:bookmarkEnd w:id="396"/>
      <w:bookmarkEnd w:id="397"/>
      <w:bookmarkEnd w:id="398"/>
      <w:bookmarkEnd w:id="399"/>
      <w:r>
        <w:rPr>
          <w:rFonts w:hint="eastAsia" w:ascii="方正小标宋简体" w:hAnsi="方正小标宋简体" w:eastAsia="方正小标宋简体" w:cs="方正小标宋简体"/>
          <w:color w:val="auto"/>
          <w:kern w:val="2"/>
          <w:szCs w:val="24"/>
          <w:highlight w:val="none"/>
          <w:lang w:val="en-US" w:eastAsia="zh-CN"/>
        </w:rPr>
        <w:t>提升智慧高效社会治理水平</w:t>
      </w:r>
      <w:bookmarkEnd w:id="400"/>
    </w:p>
    <w:p w14:paraId="63C94056">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eastAsia="zh-CN"/>
        </w:rPr>
      </w:pPr>
      <w:bookmarkStart w:id="402" w:name="_Toc31747"/>
      <w:bookmarkStart w:id="403" w:name="_Toc3501"/>
      <w:bookmarkStart w:id="404" w:name="_Toc30458"/>
      <w:bookmarkStart w:id="405" w:name="_Toc23143"/>
      <w:bookmarkStart w:id="406" w:name="_Toc2135"/>
      <w:r>
        <w:rPr>
          <w:rFonts w:hint="eastAsia"/>
          <w:color w:val="auto"/>
          <w:kern w:val="2"/>
          <w:szCs w:val="32"/>
          <w:highlight w:val="none"/>
          <w:lang w:eastAsia="zh-CN"/>
        </w:rPr>
        <w:t>坚持党的领导，深化依法行政，完善法治体系与公共法律服务，贯彻总体国家安全观，强化安全保障能力，增强产业链韧性与经济抗风险能力，推进应急管理现代化，健全防控体系，提升防灾救灾和应急处置能力，为高质量发展保驾护航。</w:t>
      </w:r>
    </w:p>
    <w:p w14:paraId="4C0406AF">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407" w:name="_Toc8903"/>
      <w:bookmarkStart w:id="408" w:name="_Toc106"/>
      <w:bookmarkStart w:id="409" w:name="_Toc30313"/>
      <w:bookmarkStart w:id="410" w:name="_Toc13456"/>
      <w:bookmarkStart w:id="411" w:name="_Toc8249"/>
      <w:bookmarkStart w:id="412" w:name="_Toc19482"/>
      <w:bookmarkStart w:id="413" w:name="_Toc8027"/>
      <w:bookmarkStart w:id="414" w:name="_Toc16748"/>
      <w:r>
        <w:rPr>
          <w:rFonts w:hint="eastAsia" w:ascii="黑体" w:hAnsi="黑体" w:eastAsia="黑体" w:cs="黑体"/>
          <w:color w:val="auto"/>
          <w:highlight w:val="none"/>
          <w:lang w:val="en-US" w:eastAsia="zh-CN"/>
        </w:rPr>
        <w:t>一、全面提高依法治区水平</w:t>
      </w:r>
      <w:bookmarkEnd w:id="407"/>
      <w:bookmarkEnd w:id="408"/>
      <w:bookmarkEnd w:id="409"/>
      <w:bookmarkEnd w:id="410"/>
      <w:bookmarkEnd w:id="411"/>
      <w:bookmarkEnd w:id="412"/>
      <w:bookmarkEnd w:id="413"/>
      <w:bookmarkEnd w:id="414"/>
    </w:p>
    <w:p w14:paraId="2C74977D">
      <w:pPr>
        <w:keepNext w:val="0"/>
        <w:keepLines w:val="0"/>
        <w:pageBreakBefore w:val="0"/>
        <w:widowControl w:val="0"/>
        <w:shd w:val="clear"/>
        <w:kinsoku/>
        <w:wordWrap/>
        <w:overflowPunct w:val="0"/>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val="0"/>
          <w:bCs w:val="0"/>
          <w:color w:val="auto"/>
          <w:highlight w:val="none"/>
          <w:lang w:val="en-US" w:eastAsia="zh-CN"/>
        </w:rPr>
      </w:pPr>
      <w:r>
        <w:rPr>
          <w:rFonts w:hint="eastAsia" w:ascii="仿宋_GB2312" w:hAnsi="仿宋_GB2312" w:eastAsia="仿宋_GB2312" w:cs="仿宋_GB2312"/>
          <w:b w:val="0"/>
          <w:bCs w:val="0"/>
          <w:i w:val="0"/>
          <w:iCs w:val="0"/>
          <w:color w:val="auto"/>
          <w:kern w:val="2"/>
          <w:sz w:val="32"/>
          <w:szCs w:val="40"/>
          <w:highlight w:val="none"/>
          <w:lang w:val="en-US" w:eastAsia="zh-CN" w:bidi="ar-SA"/>
        </w:rPr>
        <w:t>推进社会主义政治建设，</w:t>
      </w:r>
      <w:r>
        <w:rPr>
          <w:rFonts w:hint="eastAsia" w:cs="仿宋_GB2312"/>
          <w:b w:val="0"/>
          <w:bCs w:val="0"/>
          <w:color w:val="auto"/>
          <w:kern w:val="2"/>
          <w:sz w:val="32"/>
          <w:szCs w:val="40"/>
          <w:highlight w:val="none"/>
          <w:lang w:val="en-US" w:eastAsia="zh-CN" w:bidi="ar-SA"/>
        </w:rPr>
        <w:t>营造</w:t>
      </w:r>
      <w:r>
        <w:rPr>
          <w:rFonts w:hint="eastAsia" w:ascii="仿宋_GB2312" w:hAnsi="仿宋_GB2312" w:eastAsia="仿宋_GB2312" w:cs="仿宋_GB2312"/>
          <w:b w:val="0"/>
          <w:bCs w:val="0"/>
          <w:i w:val="0"/>
          <w:iCs w:val="0"/>
          <w:color w:val="auto"/>
          <w:kern w:val="2"/>
          <w:sz w:val="32"/>
          <w:szCs w:val="40"/>
          <w:highlight w:val="none"/>
          <w:lang w:val="en-US" w:eastAsia="zh-CN" w:bidi="ar-SA"/>
        </w:rPr>
        <w:t>公平正义的民主法治</w:t>
      </w:r>
      <w:r>
        <w:rPr>
          <w:rFonts w:hint="eastAsia" w:cs="仿宋_GB2312"/>
          <w:b w:val="0"/>
          <w:bCs w:val="0"/>
          <w:color w:val="auto"/>
          <w:kern w:val="2"/>
          <w:sz w:val="32"/>
          <w:szCs w:val="40"/>
          <w:highlight w:val="none"/>
          <w:lang w:val="en-US" w:eastAsia="zh-CN" w:bidi="ar-SA"/>
        </w:rPr>
        <w:t>环境，以高水平法治服务保障经济社会高质量发展。</w:t>
      </w:r>
    </w:p>
    <w:p w14:paraId="095C9D4C">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（一）坚持和发展全过程人民民主。</w:t>
      </w:r>
      <w:r>
        <w:rPr>
          <w:rFonts w:hint="eastAsia"/>
          <w:color w:val="auto"/>
          <w:kern w:val="2"/>
          <w:szCs w:val="32"/>
          <w:highlight w:val="none"/>
        </w:rPr>
        <w:t>坚持党的领导、人民当家作主、依法治</w:t>
      </w:r>
      <w:r>
        <w:rPr>
          <w:rFonts w:hint="eastAsia"/>
          <w:color w:val="auto"/>
          <w:kern w:val="2"/>
          <w:szCs w:val="32"/>
          <w:highlight w:val="none"/>
          <w:lang w:val="en-US" w:eastAsia="zh-CN"/>
        </w:rPr>
        <w:t>区</w:t>
      </w:r>
      <w:r>
        <w:rPr>
          <w:rFonts w:hint="eastAsia"/>
          <w:color w:val="auto"/>
          <w:kern w:val="2"/>
          <w:szCs w:val="32"/>
          <w:highlight w:val="none"/>
        </w:rPr>
        <w:t>有机统一，推进社会主义政治建设，营造彰显公平正义的民主法治环境。坚持和发展全过程人民民主，保证人大及其常委会依法行使职权，密切政府部门同人大代表联系。完善政府部门定期报告及人大代表票决民生实事机制，深化代表联系群众“工作站”全覆盖</w:t>
      </w:r>
      <w:r>
        <w:rPr>
          <w:rFonts w:hint="eastAsia"/>
          <w:color w:val="auto"/>
          <w:kern w:val="2"/>
          <w:szCs w:val="32"/>
          <w:highlight w:val="none"/>
          <w:lang w:eastAsia="zh-CN"/>
        </w:rPr>
        <w:t>。</w:t>
      </w:r>
      <w:r>
        <w:rPr>
          <w:rFonts w:hint="eastAsia"/>
          <w:color w:val="auto"/>
          <w:kern w:val="2"/>
          <w:szCs w:val="32"/>
          <w:highlight w:val="none"/>
        </w:rPr>
        <w:t>建强“商量在济阳”协商品牌，推动政协专题协商向</w:t>
      </w:r>
      <w:r>
        <w:rPr>
          <w:rFonts w:hint="eastAsia"/>
          <w:color w:val="auto"/>
          <w:kern w:val="2"/>
          <w:szCs w:val="32"/>
          <w:highlight w:val="none"/>
          <w:lang w:val="en-US" w:eastAsia="zh-CN"/>
        </w:rPr>
        <w:t>街道（镇）</w:t>
      </w:r>
      <w:r>
        <w:rPr>
          <w:rFonts w:hint="eastAsia"/>
          <w:color w:val="auto"/>
          <w:kern w:val="2"/>
          <w:szCs w:val="32"/>
          <w:highlight w:val="none"/>
        </w:rPr>
        <w:t>、园区延伸，强化协商成果转化督查</w:t>
      </w:r>
      <w:r>
        <w:rPr>
          <w:rFonts w:hint="eastAsia"/>
          <w:color w:val="auto"/>
          <w:kern w:val="2"/>
          <w:szCs w:val="32"/>
          <w:highlight w:val="none"/>
          <w:lang w:eastAsia="zh-CN"/>
        </w:rPr>
        <w:t>。</w:t>
      </w:r>
      <w:r>
        <w:rPr>
          <w:rFonts w:hint="eastAsia"/>
          <w:color w:val="auto"/>
          <w:kern w:val="2"/>
          <w:szCs w:val="32"/>
          <w:highlight w:val="none"/>
        </w:rPr>
        <w:t>发挥工会、共青团、妇联等群团组织桥梁纽带作用，打造服务产业工人、青年、妇女</w:t>
      </w:r>
      <w:r>
        <w:rPr>
          <w:rFonts w:hint="eastAsia"/>
          <w:color w:val="auto"/>
          <w:kern w:val="2"/>
          <w:szCs w:val="32"/>
          <w:highlight w:val="none"/>
          <w:lang w:val="en-US" w:eastAsia="zh-CN"/>
        </w:rPr>
        <w:t>等</w:t>
      </w:r>
      <w:r>
        <w:rPr>
          <w:rFonts w:hint="eastAsia"/>
          <w:color w:val="auto"/>
          <w:kern w:val="2"/>
          <w:szCs w:val="32"/>
          <w:highlight w:val="none"/>
        </w:rPr>
        <w:t>的一线载体</w:t>
      </w:r>
      <w:r>
        <w:rPr>
          <w:rFonts w:hint="eastAsia"/>
          <w:color w:val="auto"/>
          <w:kern w:val="2"/>
          <w:szCs w:val="32"/>
          <w:highlight w:val="none"/>
          <w:lang w:val="en-US" w:eastAsia="zh-CN"/>
        </w:rPr>
        <w:t>。</w:t>
      </w:r>
      <w:r>
        <w:rPr>
          <w:rFonts w:hint="eastAsia"/>
          <w:color w:val="auto"/>
          <w:kern w:val="2"/>
          <w:szCs w:val="32"/>
          <w:highlight w:val="none"/>
        </w:rPr>
        <w:t>巩固大统战格局，深化政党协商与民族宗教事务管理，依托海峡两岸</w:t>
      </w:r>
      <w:r>
        <w:rPr>
          <w:rFonts w:hint="eastAsia"/>
          <w:color w:val="auto"/>
          <w:kern w:val="2"/>
          <w:szCs w:val="32"/>
          <w:highlight w:val="none"/>
          <w:lang w:val="en-US" w:eastAsia="zh-CN"/>
        </w:rPr>
        <w:t>新旧动能转换</w:t>
      </w:r>
      <w:r>
        <w:rPr>
          <w:rFonts w:hint="eastAsia"/>
          <w:color w:val="auto"/>
          <w:kern w:val="2"/>
          <w:szCs w:val="32"/>
          <w:highlight w:val="none"/>
        </w:rPr>
        <w:t>产业合作区拓展港澳台侨经贸联谊，激活新阶层人士参与基层治理效能，凝聚共建强区的广泛合力。</w:t>
      </w:r>
    </w:p>
    <w:p w14:paraId="531B7B55">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eastAsia="zh-CN"/>
        </w:rPr>
      </w:pPr>
      <w:r>
        <w:rPr>
          <w:rFonts w:hint="eastAsia" w:ascii="楷体_GB2312" w:hAnsi="楷体_GB2312" w:eastAsia="楷体_GB2312" w:cs="楷体_GB2312"/>
          <w:b w:val="0"/>
          <w:bCs w:val="0"/>
          <w:color w:val="auto"/>
          <w:spacing w:val="0"/>
          <w:sz w:val="32"/>
          <w:szCs w:val="32"/>
          <w:highlight w:val="none"/>
          <w:lang w:val="en-US" w:eastAsia="zh-CN"/>
        </w:rPr>
        <w:t>（二）扎实推进法治济阳建设。</w:t>
      </w:r>
      <w:r>
        <w:rPr>
          <w:rFonts w:hint="eastAsia"/>
          <w:color w:val="auto"/>
          <w:kern w:val="2"/>
          <w:szCs w:val="32"/>
          <w:highlight w:val="none"/>
          <w:lang w:val="en-US" w:eastAsia="zh-CN"/>
        </w:rPr>
        <w:t>着力</w:t>
      </w:r>
      <w:r>
        <w:rPr>
          <w:rFonts w:hint="eastAsia"/>
          <w:color w:val="auto"/>
          <w:kern w:val="2"/>
          <w:szCs w:val="32"/>
          <w:highlight w:val="none"/>
        </w:rPr>
        <w:t>加强法治政府建设、法治社会建设，落实党政主要负责人履行推进法治建设第一责任。完善依法行政体系，加强重点领域制度供给，严格重大行政决策合法性审查与执行评估，落实行政执法“三项制度”，</w:t>
      </w:r>
      <w:r>
        <w:rPr>
          <w:rFonts w:hint="eastAsia" w:ascii="仿宋_GB2312" w:hAnsi="仿宋_GB2312" w:eastAsia="仿宋_GB2312" w:cs="仿宋_GB2312"/>
          <w:color w:val="auto"/>
          <w:kern w:val="2"/>
          <w:szCs w:val="32"/>
          <w:highlight w:val="none"/>
          <w:lang w:val="en-US" w:eastAsia="zh-CN"/>
        </w:rPr>
        <w:t>深化“111N”工作体系，全面推行跨部门联合监管，</w:t>
      </w:r>
      <w:r>
        <w:rPr>
          <w:rFonts w:hint="eastAsia"/>
          <w:color w:val="auto"/>
          <w:kern w:val="2"/>
          <w:szCs w:val="32"/>
          <w:highlight w:val="none"/>
        </w:rPr>
        <w:t>推进“检查一件事”执法改革。完善法治监督机制，强化权力运行监督，提升政务公开质效，深化府院、府检联动，完善行刑衔接机制，加强行政执法监督，切实压低政府和部门行政诉讼败诉率。实施“九五”普法规划，健全宪法实施与宣传机制，创新法治为民举措，建设“黄河法治文化走廊”，培育涉外法治人才队伍，健全社会信用体系，逐步形成具有济阳特色的社会信用制度体系。</w:t>
      </w:r>
    </w:p>
    <w:p w14:paraId="64CD6A59">
      <w:pPr>
        <w:keepNext w:val="0"/>
        <w:keepLines w:val="0"/>
        <w:pageBreakBefore w:val="0"/>
        <w:widowControl w:val="0"/>
        <w:shd w:val="clear"/>
        <w:kinsoku/>
        <w:wordWrap/>
        <w:overflowPunct w:val="0"/>
        <w:topLinePunct w:val="0"/>
        <w:autoSpaceDE/>
        <w:autoSpaceDN/>
        <w:bidi w:val="0"/>
        <w:adjustRightInd/>
        <w:snapToGrid/>
        <w:ind w:firstLineChars="200"/>
        <w:jc w:val="both"/>
        <w:textAlignment w:val="auto"/>
        <w:outlineLvl w:val="1"/>
        <w:rPr>
          <w:rFonts w:hint="eastAsia" w:ascii="黑体" w:hAnsi="黑体" w:eastAsia="黑体" w:cs="黑体"/>
          <w:color w:val="auto"/>
          <w:highlight w:val="none"/>
          <w:lang w:val="en-US" w:eastAsia="zh-CN"/>
        </w:rPr>
      </w:pPr>
      <w:bookmarkStart w:id="415" w:name="_Toc31387"/>
      <w:bookmarkStart w:id="416" w:name="_Toc30893"/>
      <w:bookmarkStart w:id="417" w:name="_Toc3433"/>
      <w:bookmarkStart w:id="418" w:name="_Toc2917"/>
      <w:bookmarkStart w:id="419" w:name="_Toc18520"/>
      <w:r>
        <w:rPr>
          <w:rFonts w:hint="eastAsia" w:ascii="黑体" w:hAnsi="黑体" w:eastAsia="黑体" w:cs="黑体"/>
          <w:color w:val="auto"/>
          <w:highlight w:val="none"/>
          <w:lang w:val="en-US" w:eastAsia="zh-CN"/>
        </w:rPr>
        <w:t>二、优化提升社会治理方式</w:t>
      </w:r>
      <w:bookmarkEnd w:id="415"/>
      <w:bookmarkEnd w:id="416"/>
      <w:bookmarkEnd w:id="417"/>
      <w:bookmarkEnd w:id="418"/>
      <w:bookmarkEnd w:id="419"/>
    </w:p>
    <w:p w14:paraId="04E353F5">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color w:val="auto"/>
          <w:kern w:val="2"/>
          <w:szCs w:val="32"/>
          <w:highlight w:val="none"/>
          <w:lang w:val="en-US" w:eastAsia="zh-CN"/>
        </w:rPr>
        <w:t>坚持党建引领、多元协同、数智赋能，以网格化为基础、社区治理为核心、乡村善治为根基，构建权责清晰、运转高效、服务精准的现代化治理体系，打造共建共治共享的“善治济阳”新格局。</w:t>
      </w:r>
    </w:p>
    <w:p w14:paraId="08E14002">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color w:val="auto"/>
          <w:kern w:val="2"/>
          <w:szCs w:val="32"/>
          <w:highlight w:val="none"/>
          <w:lang w:val="en-US" w:eastAsia="zh-CN"/>
        </w:rPr>
        <w:t>（一）发挥党建引领基层治理作用</w:t>
      </w:r>
      <w:r>
        <w:rPr>
          <w:rFonts w:hint="eastAsia"/>
          <w:color w:val="auto"/>
          <w:kern w:val="2"/>
          <w:szCs w:val="32"/>
          <w:highlight w:val="none"/>
          <w:lang w:val="en-US" w:eastAsia="zh-CN"/>
        </w:rPr>
        <w:t>。坚持把党的领导贯穿基层治理全过程、各领域，强化党组织政治功能和组织功能。</w:t>
      </w:r>
      <w:r>
        <w:rPr>
          <w:rFonts w:hint="eastAsia" w:ascii="仿宋_GB2312" w:hAnsi="仿宋_GB2312" w:eastAsia="仿宋_GB2312" w:cs="仿宋_GB2312"/>
          <w:b w:val="0"/>
          <w:bCs w:val="0"/>
          <w:color w:val="auto"/>
          <w:kern w:val="2"/>
          <w:sz w:val="32"/>
          <w:szCs w:val="32"/>
          <w:highlight w:val="none"/>
          <w:shd w:val="clear" w:color="auto" w:fill="auto"/>
        </w:rPr>
        <w:t>加强党建引领基层治理和基层政权建设，全面落实</w:t>
      </w:r>
      <w:r>
        <w:rPr>
          <w:rFonts w:hint="eastAsia" w:cs="仿宋_GB2312"/>
          <w:b w:val="0"/>
          <w:bCs w:val="0"/>
          <w:color w:val="auto"/>
          <w:kern w:val="2"/>
          <w:sz w:val="32"/>
          <w:szCs w:val="32"/>
          <w:highlight w:val="none"/>
          <w:shd w:val="clear" w:color="auto" w:fill="auto"/>
          <w:lang w:eastAsia="zh-CN"/>
        </w:rPr>
        <w:t>街道（镇）</w:t>
      </w:r>
      <w:r>
        <w:rPr>
          <w:rFonts w:hint="eastAsia" w:ascii="仿宋_GB2312" w:hAnsi="仿宋_GB2312" w:eastAsia="仿宋_GB2312" w:cs="仿宋_GB2312"/>
          <w:b w:val="0"/>
          <w:bCs w:val="0"/>
          <w:color w:val="auto"/>
          <w:kern w:val="2"/>
          <w:sz w:val="32"/>
          <w:szCs w:val="32"/>
          <w:highlight w:val="none"/>
          <w:shd w:val="clear" w:color="auto" w:fill="auto"/>
        </w:rPr>
        <w:t>履行职责事项清单，健全</w:t>
      </w:r>
      <w:r>
        <w:rPr>
          <w:rFonts w:hint="eastAsia" w:cs="仿宋_GB2312"/>
          <w:b w:val="0"/>
          <w:bCs w:val="0"/>
          <w:color w:val="auto"/>
          <w:kern w:val="2"/>
          <w:sz w:val="32"/>
          <w:szCs w:val="32"/>
          <w:highlight w:val="none"/>
          <w:shd w:val="clear" w:color="auto" w:fill="auto"/>
          <w:lang w:eastAsia="zh-CN"/>
        </w:rPr>
        <w:t>村（居）</w:t>
      </w:r>
      <w:r>
        <w:rPr>
          <w:rFonts w:hint="eastAsia" w:ascii="仿宋_GB2312" w:hAnsi="仿宋_GB2312" w:eastAsia="仿宋_GB2312" w:cs="仿宋_GB2312"/>
          <w:b w:val="0"/>
          <w:bCs w:val="0"/>
          <w:color w:val="auto"/>
          <w:kern w:val="2"/>
          <w:sz w:val="32"/>
          <w:szCs w:val="32"/>
          <w:highlight w:val="none"/>
          <w:shd w:val="clear" w:color="auto" w:fill="auto"/>
        </w:rPr>
        <w:t>工作事项准入制度。</w:t>
      </w:r>
      <w:r>
        <w:rPr>
          <w:rFonts w:hint="eastAsia"/>
          <w:color w:val="auto"/>
          <w:kern w:val="2"/>
          <w:szCs w:val="32"/>
          <w:highlight w:val="none"/>
          <w:lang w:val="en-US" w:eastAsia="zh-CN"/>
        </w:rPr>
        <w:t>健全完善党建引领基层治理协调机制，发挥其在顶层设计、统筹协调、资源整合、重点突破和督导落实中的主导作用，规范运行全体会议、专题会议等制度，聚焦政策制定、项目谋划、任务部署和重大事项督办，推动厘清条块权责、消除管理盲区。聚焦新经济组织、新社会组织和快递员、网约车司机、网约配送员等新就业群体，创新组织设置和工作方式，推动党的组织和工作有效嵌入，持续提升党在新兴领域的引领力、凝聚力和影响力，夯实基层治理根基。</w:t>
      </w:r>
    </w:p>
    <w:p w14:paraId="693B9C88">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（二）着力加强基层治理建设。</w:t>
      </w:r>
      <w:r>
        <w:rPr>
          <w:rFonts w:hint="eastAsia"/>
          <w:color w:val="auto"/>
          <w:kern w:val="2"/>
          <w:szCs w:val="32"/>
          <w:highlight w:val="none"/>
          <w:lang w:val="en-US" w:eastAsia="zh-CN"/>
        </w:rPr>
        <w:t>积极做好社区工作者的“选、育、管、用”工作，全面提升专业素养和服务能力。加强社会工作体制机制建设，形成各级各部门有效协同、运行顺畅、齐抓共管的工作格局。</w:t>
      </w:r>
      <w:r>
        <w:rPr>
          <w:rFonts w:hint="eastAsia" w:ascii="仿宋_GB2312" w:hAnsi="仿宋_GB2312" w:eastAsia="仿宋_GB2312" w:cs="仿宋_GB2312"/>
          <w:b w:val="0"/>
          <w:bCs w:val="0"/>
          <w:color w:val="auto"/>
          <w:kern w:val="2"/>
          <w:sz w:val="32"/>
          <w:szCs w:val="32"/>
          <w:highlight w:val="none"/>
          <w:shd w:val="clear" w:color="auto" w:fill="auto"/>
        </w:rPr>
        <w:t>加强社会组织的培育管理，有效发挥行业管理部门和业务主管部门的作用，推动行业协会商会高质量发展。发挥村规民约和人民建议征集作用，用好社区协商议事机制和村级“主题党日</w:t>
      </w:r>
      <w:r>
        <w:rPr>
          <w:rFonts w:hint="eastAsia" w:cs="仿宋_GB2312"/>
          <w:b w:val="0"/>
          <w:bCs w:val="0"/>
          <w:color w:val="auto"/>
          <w:kern w:val="2"/>
          <w:sz w:val="32"/>
          <w:szCs w:val="32"/>
          <w:highlight w:val="none"/>
          <w:shd w:val="clear" w:color="auto" w:fill="auto"/>
          <w:lang w:eastAsia="zh-CN"/>
        </w:rPr>
        <w:t>＋</w:t>
      </w:r>
      <w:r>
        <w:rPr>
          <w:rFonts w:hint="eastAsia" w:ascii="仿宋_GB2312" w:hAnsi="仿宋_GB2312" w:eastAsia="仿宋_GB2312" w:cs="仿宋_GB2312"/>
          <w:b w:val="0"/>
          <w:bCs w:val="0"/>
          <w:color w:val="auto"/>
          <w:kern w:val="2"/>
          <w:sz w:val="32"/>
          <w:szCs w:val="32"/>
          <w:highlight w:val="none"/>
          <w:shd w:val="clear" w:color="auto" w:fill="auto"/>
        </w:rPr>
        <w:t>阳光议事”平台，引导</w:t>
      </w:r>
      <w:r>
        <w:rPr>
          <w:rFonts w:hint="eastAsia" w:cs="仿宋_GB2312"/>
          <w:b w:val="0"/>
          <w:bCs w:val="0"/>
          <w:color w:val="auto"/>
          <w:kern w:val="2"/>
          <w:sz w:val="32"/>
          <w:szCs w:val="32"/>
          <w:highlight w:val="none"/>
          <w:shd w:val="clear" w:color="auto" w:fill="auto"/>
          <w:lang w:eastAsia="zh-CN"/>
        </w:rPr>
        <w:t>村（居）</w:t>
      </w:r>
      <w:r>
        <w:rPr>
          <w:rFonts w:hint="eastAsia" w:ascii="仿宋_GB2312" w:hAnsi="仿宋_GB2312" w:eastAsia="仿宋_GB2312" w:cs="仿宋_GB2312"/>
          <w:b w:val="0"/>
          <w:bCs w:val="0"/>
          <w:color w:val="auto"/>
          <w:kern w:val="2"/>
          <w:sz w:val="32"/>
          <w:szCs w:val="32"/>
          <w:highlight w:val="none"/>
          <w:shd w:val="clear" w:color="auto" w:fill="auto"/>
        </w:rPr>
        <w:t>居民有序参与社会治理。健全志愿服务体系，推动志愿服务项目化、规范化开展，不断扩大参与面和惠及面，促进深度参与社会治理。</w:t>
      </w:r>
    </w:p>
    <w:p w14:paraId="7754EA2A">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（三）持续完善社区治理体系。</w:t>
      </w:r>
      <w:r>
        <w:rPr>
          <w:rFonts w:hint="eastAsia"/>
          <w:color w:val="auto"/>
          <w:kern w:val="2"/>
          <w:szCs w:val="32"/>
          <w:highlight w:val="none"/>
          <w:lang w:val="en-US" w:eastAsia="zh-CN"/>
        </w:rPr>
        <w:t>健全社区党组织领导下的居委会、业委会、物业服务企业“三方联动”机制，明确各方权责边界，定期召开联席会议，协调解决社区物业、环境整治、邻里纠纷等民生问题。加强社区规范化建设，完善社区公共服务设施，打造“15分钟社区生活圈”，为居民提供养老、托幼、医疗、文化等一站式服务。</w:t>
      </w:r>
      <w:r>
        <w:rPr>
          <w:rFonts w:hint="eastAsia" w:ascii="仿宋_GB2312" w:hAnsi="仿宋_GB2312" w:eastAsia="仿宋_GB2312" w:cs="仿宋_GB2312"/>
          <w:b w:val="0"/>
          <w:bCs w:val="0"/>
          <w:color w:val="auto"/>
          <w:kern w:val="2"/>
          <w:sz w:val="32"/>
          <w:szCs w:val="32"/>
          <w:highlight w:val="none"/>
          <w:shd w:val="clear" w:color="auto" w:fill="auto"/>
        </w:rPr>
        <w:t>加强上下联动，做实物业服务企业的日常管理和考核工作，探索物业企业退出机制，不断提升物业管理能力与服务水平。</w:t>
      </w:r>
      <w:r>
        <w:rPr>
          <w:rFonts w:hint="eastAsia"/>
          <w:color w:val="auto"/>
          <w:kern w:val="2"/>
          <w:szCs w:val="32"/>
          <w:highlight w:val="none"/>
          <w:lang w:val="en-US" w:eastAsia="zh-CN"/>
        </w:rPr>
        <w:t>深化智慧社区建设，提升社区管理和服务的精细化水平。</w:t>
      </w:r>
    </w:p>
    <w:p w14:paraId="4EC3EAC7">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420" w:name="_Toc6095"/>
      <w:bookmarkStart w:id="421" w:name="_Toc17505"/>
      <w:bookmarkStart w:id="422" w:name="_Toc4934"/>
      <w:bookmarkStart w:id="423" w:name="_Toc19536"/>
      <w:bookmarkStart w:id="424" w:name="_Toc14123"/>
      <w:bookmarkStart w:id="425" w:name="_Toc7402"/>
      <w:bookmarkStart w:id="426" w:name="_Toc18918"/>
      <w:bookmarkStart w:id="427" w:name="_Toc24807"/>
      <w:r>
        <w:rPr>
          <w:rFonts w:hint="eastAsia" w:ascii="黑体" w:hAnsi="黑体" w:eastAsia="黑体" w:cs="黑体"/>
          <w:color w:val="auto"/>
          <w:highlight w:val="none"/>
          <w:lang w:val="en-US" w:eastAsia="zh-CN"/>
        </w:rPr>
        <w:t>三、维护社会安定和谐</w:t>
      </w:r>
      <w:bookmarkEnd w:id="420"/>
      <w:bookmarkEnd w:id="421"/>
    </w:p>
    <w:p w14:paraId="28AE4F13">
      <w:pPr>
        <w:keepNext w:val="0"/>
        <w:keepLines w:val="0"/>
        <w:pageBreakBefore w:val="0"/>
        <w:widowControl w:val="0"/>
        <w:shd w:val="clear"/>
        <w:kinsoku/>
        <w:wordWrap/>
        <w:overflowPunct w:val="0"/>
        <w:topLinePunct w:val="0"/>
        <w:autoSpaceDE/>
        <w:autoSpaceDN/>
        <w:bidi w:val="0"/>
        <w:adjustRightInd/>
        <w:snapToGrid/>
        <w:ind w:firstLineChars="200"/>
        <w:jc w:val="both"/>
        <w:textAlignment w:val="auto"/>
        <w:outlineLvl w:val="9"/>
        <w:rPr>
          <w:rFonts w:hint="eastAsia"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i w:val="0"/>
          <w:iCs w:val="0"/>
          <w:caps w:val="0"/>
          <w:color w:val="auto"/>
          <w:spacing w:val="0"/>
          <w:kern w:val="2"/>
          <w:sz w:val="32"/>
          <w:szCs w:val="32"/>
          <w:highlight w:val="none"/>
          <w:shd w:val="clear" w:fill="FFFFFF"/>
        </w:rPr>
        <w:t>严格落实维护社会稳定责任制，完善社会治安综合治理体制机制，深化系统治理、依法治理、综合治理、源头治理，保障人民群众生命财产安全和社会大局稳定</w:t>
      </w:r>
      <w:r>
        <w:rPr>
          <w:rFonts w:hint="eastAsia" w:ascii="仿宋_GB2312" w:hAnsi="仿宋_GB2312" w:eastAsia="仿宋_GB2312" w:cs="仿宋_GB2312"/>
          <w:i w:val="0"/>
          <w:iCs w:val="0"/>
          <w:caps w:val="0"/>
          <w:color w:val="auto"/>
          <w:spacing w:val="0"/>
          <w:kern w:val="2"/>
          <w:sz w:val="32"/>
          <w:szCs w:val="32"/>
          <w:highlight w:val="none"/>
          <w:shd w:val="clear" w:fill="FFFFFF"/>
          <w:lang w:eastAsia="zh-CN"/>
        </w:rPr>
        <w:t>。</w:t>
      </w:r>
    </w:p>
    <w:p w14:paraId="047461B0">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Autospacing="0" w:afterAutospacing="0"/>
        <w:ind w:left="0" w:right="0" w:firstLine="640"/>
        <w:jc w:val="left"/>
        <w:textAlignment w:val="auto"/>
        <w:outlineLvl w:val="9"/>
        <w:rPr>
          <w:rFonts w:hint="eastAsia" w:ascii="仿宋_GB2312" w:hAnsi="仿宋_GB2312" w:eastAsia="仿宋_GB2312" w:cs="仿宋_GB2312"/>
          <w:i w:val="0"/>
          <w:iCs w:val="0"/>
          <w:caps w:val="0"/>
          <w:color w:val="auto"/>
          <w:spacing w:val="0"/>
          <w:kern w:val="2"/>
          <w:sz w:val="32"/>
          <w:szCs w:val="32"/>
          <w:highlight w:val="none"/>
        </w:rPr>
      </w:pPr>
      <w:r>
        <w:rPr>
          <w:rStyle w:val="20"/>
          <w:rFonts w:hint="eastAsia" w:ascii="楷体_GB2312" w:hAnsi="楷体_GB2312" w:eastAsia="楷体_GB2312" w:cs="楷体_GB2312"/>
          <w:b w:val="0"/>
          <w:bCs w:val="0"/>
          <w:i w:val="0"/>
          <w:iCs w:val="0"/>
          <w:caps w:val="0"/>
          <w:color w:val="auto"/>
          <w:spacing w:val="0"/>
          <w:sz w:val="32"/>
          <w:szCs w:val="32"/>
          <w:highlight w:val="none"/>
          <w:shd w:val="clear" w:fill="FFFFFF"/>
        </w:rPr>
        <w:t>（一）防范化解社会稳定风险。</w:t>
      </w:r>
      <w:r>
        <w:rPr>
          <w:rFonts w:hint="eastAsia" w:ascii="仿宋_GB2312" w:hAnsi="仿宋_GB2312" w:eastAsia="仿宋_GB2312" w:cs="仿宋_GB2312"/>
          <w:i w:val="0"/>
          <w:iCs w:val="0"/>
          <w:caps w:val="0"/>
          <w:color w:val="auto"/>
          <w:spacing w:val="0"/>
          <w:kern w:val="2"/>
          <w:sz w:val="32"/>
          <w:szCs w:val="32"/>
          <w:highlight w:val="none"/>
          <w:shd w:val="clear" w:fill="FFFFFF"/>
        </w:rPr>
        <w:t>健全社会稳定风险隐患排查整治工作机制，压实属地、行业主管和单位主体责任，加强风险源头治理。</w:t>
      </w:r>
      <w:r>
        <w:rPr>
          <w:rFonts w:hint="eastAsia" w:cs="仿宋_GB2312"/>
          <w:i w:val="0"/>
          <w:iCs w:val="0"/>
          <w:caps w:val="0"/>
          <w:color w:val="auto"/>
          <w:spacing w:val="0"/>
          <w:kern w:val="2"/>
          <w:sz w:val="32"/>
          <w:szCs w:val="32"/>
          <w:highlight w:val="none"/>
          <w:shd w:val="clear" w:fill="FFFFFF"/>
          <w:lang w:val="en-US" w:eastAsia="zh-CN"/>
        </w:rPr>
        <w:t>完善</w:t>
      </w:r>
      <w:r>
        <w:rPr>
          <w:rFonts w:hint="eastAsia" w:ascii="仿宋_GB2312" w:hAnsi="仿宋_GB2312" w:eastAsia="仿宋_GB2312" w:cs="仿宋_GB2312"/>
          <w:i w:val="0"/>
          <w:iCs w:val="0"/>
          <w:caps w:val="0"/>
          <w:color w:val="auto"/>
          <w:spacing w:val="0"/>
          <w:kern w:val="2"/>
          <w:sz w:val="32"/>
          <w:szCs w:val="32"/>
          <w:highlight w:val="none"/>
          <w:shd w:val="clear" w:fill="FFFFFF"/>
        </w:rPr>
        <w:t>社会安全风险监测预警体系，强化情报信息推送共享与维稳联动联控、问题联防联治。严格规范开展重大决策社会稳定风险评估。</w:t>
      </w:r>
      <w:r>
        <w:rPr>
          <w:rFonts w:hint="eastAsia" w:ascii="仿宋_GB2312" w:hAnsi="仿宋_GB2312" w:eastAsia="仿宋_GB2312" w:cs="仿宋_GB2312"/>
          <w:color w:val="auto"/>
          <w:sz w:val="32"/>
          <w:szCs w:val="32"/>
          <w:highlight w:val="none"/>
          <w:u w:val="none"/>
          <w:lang w:val="en-US" w:eastAsia="zh-CN"/>
        </w:rPr>
        <w:t>以联合检查为契机，统筹推进</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联合检查</w:t>
      </w:r>
      <w:r>
        <w:rPr>
          <w:rFonts w:hint="eastAsia" w:ascii="仿宋_GB2312" w:hAnsi="仿宋_GB2312" w:eastAsia="仿宋_GB2312" w:cs="仿宋_GB2312"/>
          <w:color w:val="auto"/>
          <w:sz w:val="32"/>
          <w:szCs w:val="32"/>
          <w:highlight w:val="none"/>
          <w:u w:val="none"/>
          <w:lang w:eastAsia="zh-CN"/>
        </w:rPr>
        <w:t>信息研判</w:t>
      </w:r>
      <w:r>
        <w:rPr>
          <w:rFonts w:hint="eastAsia" w:ascii="仿宋_GB2312" w:hAnsi="仿宋_GB2312" w:eastAsia="仿宋_GB2312" w:cs="仿宋_GB2312"/>
          <w:color w:val="auto"/>
          <w:sz w:val="32"/>
          <w:szCs w:val="32"/>
          <w:highlight w:val="none"/>
          <w:u w:val="none"/>
        </w:rPr>
        <w:t>中心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建设</w:t>
      </w:r>
      <w:r>
        <w:rPr>
          <w:rFonts w:hint="eastAsia" w:ascii="仿宋_GB2312" w:hAnsi="仿宋_GB2312" w:eastAsia="仿宋_GB2312" w:cs="仿宋_GB2312"/>
          <w:color w:val="auto"/>
          <w:sz w:val="32"/>
          <w:szCs w:val="32"/>
          <w:highlight w:val="none"/>
          <w:u w:val="none"/>
        </w:rPr>
        <w:t>，</w:t>
      </w:r>
      <w:r>
        <w:rPr>
          <w:rFonts w:hint="eastAsia" w:ascii="仿宋_GB2312" w:hAnsi="仿宋_GB2312" w:cs="仿宋_GB2312"/>
          <w:color w:val="auto"/>
          <w:sz w:val="32"/>
          <w:szCs w:val="32"/>
          <w:highlight w:val="none"/>
          <w:u w:val="none"/>
          <w:lang w:val="en-US" w:eastAsia="zh-CN"/>
        </w:rPr>
        <w:t>加强涉众金融、</w:t>
      </w:r>
      <w:r>
        <w:rPr>
          <w:rFonts w:hint="eastAsia" w:ascii="仿宋_GB2312" w:hAnsi="仿宋_GB2312" w:eastAsia="仿宋_GB2312" w:cs="仿宋_GB2312"/>
          <w:color w:val="auto"/>
          <w:sz w:val="32"/>
          <w:szCs w:val="32"/>
          <w:highlight w:val="none"/>
          <w:u w:val="none"/>
        </w:rPr>
        <w:t>房地产、劳动关系等重点领域及新经济业态涉稳风险监测预警处置，健全完善分级分类防范化解机制。</w:t>
      </w:r>
      <w:r>
        <w:rPr>
          <w:rFonts w:hint="eastAsia" w:ascii="仿宋_GB2312" w:hAnsi="仿宋_GB2312" w:eastAsia="仿宋_GB2312" w:cs="仿宋_GB2312"/>
          <w:i w:val="0"/>
          <w:iCs w:val="0"/>
          <w:caps w:val="0"/>
          <w:color w:val="auto"/>
          <w:spacing w:val="0"/>
          <w:kern w:val="2"/>
          <w:sz w:val="32"/>
          <w:szCs w:val="32"/>
          <w:highlight w:val="none"/>
          <w:shd w:val="clear" w:fill="FFFFFF"/>
        </w:rPr>
        <w:t>加强道路交通安全综合治理体系建设，预防和减少道路交通事故，严防发生较大以上交通安全事故。</w:t>
      </w:r>
      <w:r>
        <w:rPr>
          <w:rFonts w:ascii="Times New Roman" w:hAnsi="Times New Roman" w:eastAsia="仿宋_GB2312" w:cs="Times New Roman"/>
          <w:color w:val="auto"/>
          <w:sz w:val="32"/>
          <w:szCs w:val="32"/>
          <w:highlight w:val="none"/>
        </w:rPr>
        <w:t>常态化推进防命案、防极端，围绕</w:t>
      </w:r>
      <w:r>
        <w:rPr>
          <w:rFonts w:hint="eastAsia" w:ascii="Times New Roman" w:hAnsi="Times New Roman" w:cs="Times New Roman"/>
          <w:color w:val="auto"/>
          <w:sz w:val="32"/>
          <w:szCs w:val="32"/>
          <w:highlight w:val="none"/>
          <w:lang w:eastAsia="zh-CN"/>
        </w:rPr>
        <w:t>“</w:t>
      </w:r>
      <w:r>
        <w:rPr>
          <w:rFonts w:ascii="Times New Roman" w:hAnsi="Times New Roman" w:eastAsia="仿宋_GB2312" w:cs="Times New Roman"/>
          <w:snapToGrid w:val="0"/>
          <w:color w:val="auto"/>
          <w:kern w:val="0"/>
          <w:sz w:val="32"/>
          <w:szCs w:val="32"/>
          <w:highlight w:val="none"/>
        </w:rPr>
        <w:t>排查、预警、防范、处置</w:t>
      </w:r>
      <w:r>
        <w:rPr>
          <w:rFonts w:hint="eastAsia" w:ascii="Times New Roman" w:hAnsi="Times New Roman" w:cs="Times New Roman"/>
          <w:color w:val="auto"/>
          <w:sz w:val="32"/>
          <w:szCs w:val="32"/>
          <w:highlight w:val="none"/>
          <w:lang w:eastAsia="zh-CN"/>
        </w:rPr>
        <w:t>”</w:t>
      </w:r>
      <w:r>
        <w:rPr>
          <w:rFonts w:ascii="Times New Roman" w:hAnsi="Times New Roman" w:eastAsia="仿宋_GB2312" w:cs="Times New Roman"/>
          <w:snapToGrid w:val="0"/>
          <w:color w:val="auto"/>
          <w:kern w:val="0"/>
          <w:sz w:val="32"/>
          <w:szCs w:val="32"/>
          <w:highlight w:val="none"/>
        </w:rPr>
        <w:t>等环节，完善全流程机制预案，健全</w:t>
      </w:r>
      <w:r>
        <w:rPr>
          <w:rFonts w:ascii="Times New Roman" w:hAnsi="Times New Roman" w:eastAsia="仿宋_GB2312" w:cs="Times New Roman"/>
          <w:color w:val="auto"/>
          <w:sz w:val="32"/>
          <w:highlight w:val="none"/>
        </w:rPr>
        <w:t>公安、司法、卫生健康等部门数据共享机制，加强刑满释放、社区矫正期满人员安置帮教、严重精神障碍患者等救助管理。</w:t>
      </w:r>
    </w:p>
    <w:p w14:paraId="600C99A9">
      <w:pPr>
        <w:keepNext w:val="0"/>
        <w:keepLines w:val="0"/>
        <w:pageBreakBefore w:val="0"/>
        <w:widowControl w:val="0"/>
        <w:suppressLineNumbers w:val="0"/>
        <w:shd w:val="clear"/>
        <w:kinsoku/>
        <w:wordWrap/>
        <w:overflowPunct w:val="0"/>
        <w:topLinePunct w:val="0"/>
        <w:autoSpaceDE/>
        <w:autoSpaceDN/>
        <w:bidi w:val="0"/>
        <w:adjustRightInd/>
        <w:snapToGrid/>
        <w:spacing w:beforeAutospacing="0" w:afterAutospacing="0"/>
        <w:ind w:left="0" w:right="0" w:firstLine="640"/>
        <w:jc w:val="both"/>
        <w:textAlignment w:val="auto"/>
        <w:outlineLvl w:val="9"/>
        <w:rPr>
          <w:rFonts w:hint="eastAsia" w:ascii="仿宋_GB2312" w:hAnsi="宋体" w:cs="仿宋_GB2312"/>
          <w:color w:val="auto"/>
          <w:kern w:val="0"/>
          <w:sz w:val="32"/>
          <w:szCs w:val="32"/>
          <w:highlight w:val="none"/>
          <w:lang w:val="en-US" w:eastAsia="zh-CN" w:bidi="ar"/>
        </w:rPr>
      </w:pPr>
      <w:r>
        <w:rPr>
          <w:rStyle w:val="20"/>
          <w:rFonts w:hint="eastAsia" w:ascii="楷体_GB2312" w:hAnsi="楷体_GB2312" w:eastAsia="楷体_GB2312" w:cs="楷体_GB2312"/>
          <w:b w:val="0"/>
          <w:bCs w:val="0"/>
          <w:i w:val="0"/>
          <w:iCs w:val="0"/>
          <w:caps w:val="0"/>
          <w:color w:val="auto"/>
          <w:spacing w:val="0"/>
          <w:sz w:val="32"/>
          <w:szCs w:val="32"/>
          <w:highlight w:val="none"/>
          <w:shd w:val="clear" w:fill="FFFFFF"/>
        </w:rPr>
        <w:t>（二）加强矛盾纠纷排查化解。</w:t>
      </w:r>
      <w:r>
        <w:rPr>
          <w:rFonts w:hint="eastAsia" w:ascii="仿宋_GB2312" w:hAnsi="宋体" w:eastAsia="仿宋_GB2312" w:cs="宋体"/>
          <w:color w:val="auto"/>
          <w:kern w:val="0"/>
          <w:sz w:val="32"/>
          <w:szCs w:val="32"/>
          <w:highlight w:val="none"/>
        </w:rPr>
        <w:t>推进信访工作法治化，</w:t>
      </w:r>
      <w:r>
        <w:rPr>
          <w:rFonts w:hint="eastAsia" w:ascii="仿宋_GB2312" w:hAnsi="仿宋_GB2312" w:eastAsia="仿宋_GB2312" w:cs="仿宋_GB2312"/>
          <w:i w:val="0"/>
          <w:iCs w:val="0"/>
          <w:caps w:val="0"/>
          <w:color w:val="auto"/>
          <w:spacing w:val="0"/>
          <w:kern w:val="2"/>
          <w:sz w:val="32"/>
          <w:szCs w:val="32"/>
          <w:highlight w:val="none"/>
          <w:shd w:val="clear" w:fill="FFFFFF"/>
        </w:rPr>
        <w:t>坚持和发展新时代“枫桥经验”，推动预防在前、调解优先、运用法治、</w:t>
      </w:r>
      <w:r>
        <w:rPr>
          <w:rFonts w:hint="eastAsia" w:ascii="仿宋_GB2312" w:hAnsi="宋体" w:eastAsia="仿宋_GB2312" w:cs="宋体"/>
          <w:color w:val="auto"/>
          <w:kern w:val="0"/>
          <w:sz w:val="32"/>
          <w:szCs w:val="32"/>
          <w:highlight w:val="none"/>
        </w:rPr>
        <w:t>双向规范、</w:t>
      </w:r>
      <w:r>
        <w:rPr>
          <w:rFonts w:hint="eastAsia" w:ascii="仿宋_GB2312" w:hAnsi="仿宋_GB2312" w:eastAsia="仿宋_GB2312" w:cs="仿宋_GB2312"/>
          <w:i w:val="0"/>
          <w:iCs w:val="0"/>
          <w:caps w:val="0"/>
          <w:color w:val="auto"/>
          <w:spacing w:val="0"/>
          <w:kern w:val="2"/>
          <w:sz w:val="32"/>
          <w:szCs w:val="32"/>
          <w:highlight w:val="none"/>
          <w:shd w:val="clear" w:fill="FFFFFF"/>
        </w:rPr>
        <w:t>就地解决。加快区、</w:t>
      </w:r>
      <w:r>
        <w:rPr>
          <w:rFonts w:hint="eastAsia" w:cs="仿宋_GB2312"/>
          <w:i w:val="0"/>
          <w:iCs w:val="0"/>
          <w:caps w:val="0"/>
          <w:color w:val="auto"/>
          <w:spacing w:val="0"/>
          <w:kern w:val="2"/>
          <w:sz w:val="32"/>
          <w:szCs w:val="32"/>
          <w:highlight w:val="none"/>
          <w:shd w:val="clear" w:fill="FFFFFF"/>
          <w:lang w:eastAsia="zh-CN"/>
        </w:rPr>
        <w:t>街道（镇）</w:t>
      </w:r>
      <w:r>
        <w:rPr>
          <w:rFonts w:hint="eastAsia" w:ascii="仿宋_GB2312" w:hAnsi="仿宋_GB2312" w:eastAsia="仿宋_GB2312" w:cs="仿宋_GB2312"/>
          <w:i w:val="0"/>
          <w:iCs w:val="0"/>
          <w:caps w:val="0"/>
          <w:color w:val="auto"/>
          <w:spacing w:val="0"/>
          <w:kern w:val="2"/>
          <w:sz w:val="32"/>
          <w:szCs w:val="32"/>
          <w:highlight w:val="none"/>
          <w:shd w:val="clear" w:fill="FFFFFF"/>
        </w:rPr>
        <w:t>两级综治中心规范化建设与提质增效，整合调解、仲裁、行政复议、信访、诉讼等资源，努力让人民群众化解矛盾纠纷“最多跑一地”。</w:t>
      </w:r>
      <w:r>
        <w:rPr>
          <w:rFonts w:ascii="Times New Roman" w:hAnsi="Times New Roman" w:eastAsia="仿宋_GB2312" w:cs="Times New Roman"/>
          <w:color w:val="auto"/>
          <w:sz w:val="32"/>
          <w:szCs w:val="32"/>
          <w:highlight w:val="none"/>
        </w:rPr>
        <w:t>推动</w:t>
      </w:r>
      <w:r>
        <w:rPr>
          <w:rFonts w:hint="eastAsia" w:ascii="Times New Roman" w:hAnsi="Times New Roman"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一站式</w:t>
      </w:r>
      <w:r>
        <w:rPr>
          <w:rFonts w:hint="eastAsia" w:ascii="Times New Roman" w:hAnsi="Times New Roman"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矛盾纠纷调解中心规范化建设，推行公安派出所、司法所、律师事务所（基层法律服务所）</w:t>
      </w:r>
      <w:r>
        <w:rPr>
          <w:rFonts w:hint="eastAsia" w:ascii="Times New Roman" w:hAnsi="Times New Roman"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三所联调</w:t>
      </w:r>
      <w:r>
        <w:rPr>
          <w:rFonts w:hint="eastAsia" w:ascii="Times New Roman" w:hAnsi="Times New Roman" w:cs="Times New Roman"/>
          <w:color w:val="auto"/>
          <w:sz w:val="32"/>
          <w:szCs w:val="32"/>
          <w:highlight w:val="none"/>
          <w:lang w:eastAsia="zh-CN"/>
        </w:rPr>
        <w:t>”</w:t>
      </w:r>
      <w:r>
        <w:rPr>
          <w:rFonts w:ascii="Times New Roman" w:hAnsi="Times New Roman" w:eastAsia="仿宋_GB2312" w:cs="Times New Roman"/>
          <w:color w:val="auto"/>
          <w:sz w:val="32"/>
          <w:szCs w:val="32"/>
          <w:highlight w:val="none"/>
        </w:rPr>
        <w:t>。</w:t>
      </w:r>
      <w:r>
        <w:rPr>
          <w:rFonts w:hint="eastAsia" w:ascii="仿宋_GB2312" w:hAnsi="仿宋_GB2312" w:eastAsia="仿宋_GB2312" w:cs="仿宋_GB2312"/>
          <w:i w:val="0"/>
          <w:iCs w:val="0"/>
          <w:caps w:val="0"/>
          <w:color w:val="auto"/>
          <w:spacing w:val="0"/>
          <w:kern w:val="2"/>
          <w:sz w:val="32"/>
          <w:szCs w:val="32"/>
          <w:highlight w:val="none"/>
          <w:shd w:val="clear" w:fill="FFFFFF"/>
        </w:rPr>
        <w:t>健全完善矛盾纠纷预防和多元化解体系，常态化排查化解</w:t>
      </w:r>
      <w:r>
        <w:rPr>
          <w:rFonts w:hint="eastAsia" w:ascii="仿宋_GB2312" w:hAnsi="宋体" w:eastAsia="仿宋_GB2312" w:cs="宋体"/>
          <w:color w:val="auto"/>
          <w:kern w:val="0"/>
          <w:sz w:val="32"/>
          <w:szCs w:val="32"/>
          <w:highlight w:val="none"/>
        </w:rPr>
        <w:t>城乡建设、劳动社保、涉法涉诉、“两拖欠”</w:t>
      </w:r>
      <w:r>
        <w:rPr>
          <w:rFonts w:hint="eastAsia" w:hAnsi="宋体" w:cs="宋体"/>
          <w:color w:val="auto"/>
          <w:kern w:val="0"/>
          <w:sz w:val="32"/>
          <w:szCs w:val="32"/>
          <w:highlight w:val="none"/>
          <w:lang w:eastAsia="zh-CN"/>
        </w:rPr>
        <w:t>、</w:t>
      </w:r>
      <w:r>
        <w:rPr>
          <w:rFonts w:hint="eastAsia" w:ascii="仿宋_GB2312" w:hAnsi="仿宋_GB2312" w:eastAsia="仿宋_GB2312" w:cs="仿宋_GB2312"/>
          <w:i w:val="0"/>
          <w:iCs w:val="0"/>
          <w:caps w:val="0"/>
          <w:color w:val="auto"/>
          <w:spacing w:val="0"/>
          <w:kern w:val="2"/>
          <w:sz w:val="32"/>
          <w:szCs w:val="32"/>
          <w:highlight w:val="none"/>
          <w:shd w:val="clear" w:fill="FFFFFF"/>
        </w:rPr>
        <w:t>婚恋家庭、邻里、欠资欠薪</w:t>
      </w:r>
      <w:r>
        <w:rPr>
          <w:rFonts w:hint="eastAsia" w:cs="仿宋_GB2312"/>
          <w:i w:val="0"/>
          <w:iCs w:val="0"/>
          <w:caps w:val="0"/>
          <w:color w:val="auto"/>
          <w:spacing w:val="0"/>
          <w:kern w:val="2"/>
          <w:sz w:val="32"/>
          <w:szCs w:val="32"/>
          <w:highlight w:val="none"/>
          <w:shd w:val="clear" w:fill="FFFFFF"/>
          <w:lang w:eastAsia="zh-CN"/>
        </w:rPr>
        <w:t>、</w:t>
      </w:r>
      <w:r>
        <w:rPr>
          <w:rFonts w:hint="eastAsia" w:ascii="仿宋_GB2312" w:hAnsi="仿宋_GB2312" w:eastAsia="仿宋_GB2312" w:cs="仿宋_GB2312"/>
          <w:i w:val="0"/>
          <w:iCs w:val="0"/>
          <w:caps w:val="0"/>
          <w:color w:val="auto"/>
          <w:spacing w:val="0"/>
          <w:kern w:val="2"/>
          <w:sz w:val="32"/>
          <w:szCs w:val="32"/>
          <w:highlight w:val="none"/>
          <w:shd w:val="clear" w:fill="FFFFFF"/>
        </w:rPr>
        <w:t>征地拆迁等重点领域矛盾纠纷，</w:t>
      </w:r>
      <w:r>
        <w:rPr>
          <w:rFonts w:hint="eastAsia" w:ascii="仿宋_GB2312" w:hAnsi="宋体" w:cs="仿宋_GB2312"/>
          <w:color w:val="auto"/>
          <w:kern w:val="0"/>
          <w:sz w:val="32"/>
          <w:szCs w:val="32"/>
          <w:highlight w:val="none"/>
          <w:lang w:val="en-US" w:eastAsia="zh-CN" w:bidi="ar"/>
        </w:rPr>
        <w:t>推进司法调解、行政调解、商事调解和行业性专业性人民调解。</w:t>
      </w:r>
    </w:p>
    <w:p w14:paraId="50D39D23">
      <w:pPr>
        <w:keepNext w:val="0"/>
        <w:keepLines w:val="0"/>
        <w:pageBreakBefore w:val="0"/>
        <w:widowControl w:val="0"/>
        <w:suppressLineNumbers w:val="0"/>
        <w:shd w:val="clear"/>
        <w:kinsoku/>
        <w:wordWrap/>
        <w:overflowPunct w:val="0"/>
        <w:topLinePunct w:val="0"/>
        <w:autoSpaceDE/>
        <w:autoSpaceDN/>
        <w:bidi w:val="0"/>
        <w:adjustRightInd/>
        <w:snapToGrid/>
        <w:spacing w:beforeAutospacing="0" w:afterAutospacing="0"/>
        <w:ind w:left="0" w:right="0" w:firstLine="640"/>
        <w:jc w:val="both"/>
        <w:textAlignment w:val="auto"/>
        <w:outlineLvl w:val="9"/>
        <w:rPr>
          <w:rFonts w:hint="eastAsia" w:ascii="仿宋_GB2312" w:hAnsi="仿宋_GB2312" w:eastAsia="仿宋_GB2312" w:cs="仿宋_GB2312"/>
          <w:i w:val="0"/>
          <w:iCs w:val="0"/>
          <w:caps w:val="0"/>
          <w:color w:val="auto"/>
          <w:spacing w:val="0"/>
          <w:kern w:val="2"/>
          <w:sz w:val="32"/>
          <w:szCs w:val="32"/>
          <w:highlight w:val="none"/>
        </w:rPr>
      </w:pPr>
      <w:r>
        <w:rPr>
          <w:rStyle w:val="20"/>
          <w:rFonts w:hint="eastAsia" w:ascii="楷体_GB2312" w:hAnsi="楷体_GB2312" w:eastAsia="楷体_GB2312" w:cs="楷体_GB2312"/>
          <w:b w:val="0"/>
          <w:bCs w:val="0"/>
          <w:i w:val="0"/>
          <w:iCs w:val="0"/>
          <w:caps w:val="0"/>
          <w:color w:val="auto"/>
          <w:spacing w:val="0"/>
          <w:sz w:val="32"/>
          <w:szCs w:val="32"/>
          <w:highlight w:val="none"/>
          <w:shd w:val="clear" w:fill="FFFFFF"/>
        </w:rPr>
        <w:t>（三）深化社会治安综合治理。</w:t>
      </w:r>
      <w:r>
        <w:rPr>
          <w:rFonts w:hint="eastAsia" w:ascii="仿宋_GB2312" w:hAnsi="仿宋_GB2312" w:eastAsia="仿宋_GB2312" w:cs="仿宋_GB2312"/>
          <w:color w:val="auto"/>
          <w:sz w:val="32"/>
          <w:highlight w:val="none"/>
        </w:rPr>
        <w:t>建立完善“专业</w:t>
      </w:r>
      <w:r>
        <w:rPr>
          <w:rFonts w:hint="eastAsia" w:cs="仿宋_GB2312"/>
          <w:color w:val="auto"/>
          <w:sz w:val="32"/>
          <w:highlight w:val="none"/>
          <w:lang w:eastAsia="zh-CN"/>
        </w:rPr>
        <w:t>＋</w:t>
      </w:r>
      <w:r>
        <w:rPr>
          <w:rFonts w:hint="eastAsia" w:ascii="仿宋_GB2312" w:hAnsi="仿宋_GB2312" w:eastAsia="仿宋_GB2312" w:cs="仿宋_GB2312"/>
          <w:color w:val="auto"/>
          <w:sz w:val="32"/>
          <w:highlight w:val="none"/>
        </w:rPr>
        <w:t>机制</w:t>
      </w:r>
      <w:r>
        <w:rPr>
          <w:rFonts w:hint="eastAsia" w:cs="仿宋_GB2312"/>
          <w:color w:val="auto"/>
          <w:sz w:val="32"/>
          <w:highlight w:val="none"/>
          <w:lang w:eastAsia="zh-CN"/>
        </w:rPr>
        <w:t>＋</w:t>
      </w:r>
      <w:r>
        <w:rPr>
          <w:rFonts w:hint="eastAsia" w:ascii="仿宋_GB2312" w:hAnsi="仿宋_GB2312" w:eastAsia="仿宋_GB2312" w:cs="仿宋_GB2312"/>
          <w:color w:val="auto"/>
          <w:sz w:val="32"/>
          <w:highlight w:val="none"/>
        </w:rPr>
        <w:t>大数据”新型警务运行模式，健全“情报、指挥、行动”一体化运行机制，加大“数智警务”投入，加快推进“平安管理中心”建设使用。常态化开展扫黑除恶斗争，健全“盗抢骗”“黄赌毒”“食药环”等民生领域犯罪打击治理机制，持续加大电信网络诈骗、跨境网络赌博打击整治力度，深化相关重点行业领域监管。提升全</w:t>
      </w:r>
      <w:r>
        <w:rPr>
          <w:rFonts w:hint="eastAsia" w:ascii="仿宋_GB2312" w:hAnsi="仿宋_GB2312" w:eastAsia="仿宋_GB2312" w:cs="仿宋_GB2312"/>
          <w:color w:val="auto"/>
          <w:sz w:val="32"/>
          <w:highlight w:val="none"/>
          <w:lang w:val="en-US" w:eastAsia="zh-CN"/>
        </w:rPr>
        <w:t>区</w:t>
      </w:r>
      <w:r>
        <w:rPr>
          <w:rFonts w:hint="eastAsia" w:ascii="仿宋_GB2312" w:hAnsi="仿宋_GB2312" w:eastAsia="仿宋_GB2312" w:cs="仿宋_GB2312"/>
          <w:color w:val="auto"/>
          <w:sz w:val="32"/>
          <w:highlight w:val="none"/>
        </w:rPr>
        <w:t>“雪亮工程”应用效能和在线率</w:t>
      </w:r>
      <w:r>
        <w:rPr>
          <w:rFonts w:hint="eastAsia" w:ascii="仿宋_GB2312" w:hAnsi="仿宋_GB2312" w:eastAsia="仿宋_GB2312" w:cs="仿宋_GB2312"/>
          <w:color w:val="auto"/>
          <w:sz w:val="32"/>
          <w:highlight w:val="none"/>
          <w:lang w:eastAsia="zh-CN"/>
        </w:rPr>
        <w:t>，</w:t>
      </w:r>
      <w:r>
        <w:rPr>
          <w:rFonts w:hint="eastAsia" w:ascii="仿宋_GB2312" w:hAnsi="仿宋_GB2312" w:eastAsia="仿宋_GB2312" w:cs="仿宋_GB2312"/>
          <w:color w:val="auto"/>
          <w:sz w:val="32"/>
          <w:highlight w:val="none"/>
        </w:rPr>
        <w:t>纵深推进社会治安整体防控体系建设，加强圈层查控、单元防控、要素管控、协同联控，升级打造立体化、信息化“四级巡防”体系，完善街面快速响应机制，提升重点要害部位和人员密集场所治安掌控力。完善协同有力的社会共治格局，推进警网深度融合，</w:t>
      </w:r>
      <w:r>
        <w:rPr>
          <w:rFonts w:hint="eastAsia" w:ascii="仿宋_GB2312" w:hAnsi="仿宋_GB2312" w:eastAsia="仿宋_GB2312" w:cs="仿宋_GB2312"/>
          <w:color w:val="auto"/>
          <w:sz w:val="32"/>
          <w:szCs w:val="32"/>
          <w:highlight w:val="none"/>
          <w:lang w:val="en-US" w:eastAsia="zh-CN" w:bidi="ar-SA"/>
        </w:rPr>
        <w:t>深入实施派出所</w:t>
      </w:r>
      <w:r>
        <w:rPr>
          <w:rFonts w:hint="eastAsia" w:cs="仿宋_GB2312"/>
          <w:color w:val="auto"/>
          <w:sz w:val="32"/>
          <w:szCs w:val="32"/>
          <w:highlight w:val="none"/>
          <w:lang w:val="en-US" w:eastAsia="zh-CN" w:bidi="ar-SA"/>
        </w:rPr>
        <w:t>工作</w:t>
      </w:r>
      <w:r>
        <w:rPr>
          <w:rFonts w:hint="eastAsia" w:ascii="仿宋_GB2312" w:hAnsi="仿宋_GB2312" w:eastAsia="仿宋_GB2312" w:cs="仿宋_GB2312"/>
          <w:color w:val="auto"/>
          <w:sz w:val="32"/>
          <w:szCs w:val="32"/>
          <w:highlight w:val="none"/>
          <w:lang w:val="en-US" w:eastAsia="zh-CN" w:bidi="ar-SA"/>
        </w:rPr>
        <w:t>标准化建设</w:t>
      </w:r>
      <w:r>
        <w:rPr>
          <w:rFonts w:hint="eastAsia" w:cs="仿宋_GB2312"/>
          <w:color w:val="auto"/>
          <w:sz w:val="32"/>
          <w:szCs w:val="32"/>
          <w:highlight w:val="none"/>
          <w:lang w:val="en-US" w:eastAsia="zh-CN" w:bidi="ar-SA"/>
        </w:rPr>
        <w:t>“深根固柢”</w:t>
      </w:r>
      <w:r>
        <w:rPr>
          <w:rFonts w:hint="eastAsia" w:ascii="仿宋_GB2312" w:hAnsi="仿宋_GB2312" w:eastAsia="仿宋_GB2312" w:cs="仿宋_GB2312"/>
          <w:color w:val="auto"/>
          <w:sz w:val="32"/>
          <w:szCs w:val="32"/>
          <w:highlight w:val="none"/>
          <w:lang w:val="en-US" w:eastAsia="zh-CN" w:bidi="ar-SA"/>
        </w:rPr>
        <w:t>工程，建设多方参与的社区治理队、平安联勤警务室，</w:t>
      </w:r>
      <w:r>
        <w:rPr>
          <w:rFonts w:hint="eastAsia" w:cs="仿宋_GB2312"/>
          <w:color w:val="auto"/>
          <w:sz w:val="32"/>
          <w:szCs w:val="32"/>
          <w:highlight w:val="none"/>
          <w:lang w:val="en-US" w:eastAsia="zh-CN" w:bidi="ar-SA"/>
        </w:rPr>
        <w:t>推动</w:t>
      </w:r>
      <w:r>
        <w:rPr>
          <w:rFonts w:hint="eastAsia" w:ascii="仿宋_GB2312" w:hAnsi="仿宋_GB2312" w:eastAsia="仿宋_GB2312" w:cs="仿宋_GB2312"/>
          <w:color w:val="auto"/>
          <w:sz w:val="32"/>
          <w:szCs w:val="32"/>
          <w:highlight w:val="none"/>
          <w:lang w:val="en-US" w:eastAsia="zh-CN" w:bidi="ar-SA"/>
        </w:rPr>
        <w:t>警力下沉、保障下倾，公安机关基层基础建设提质跃升</w:t>
      </w:r>
      <w:r>
        <w:rPr>
          <w:rFonts w:hint="eastAsia" w:cs="仿宋_GB2312"/>
          <w:color w:val="auto"/>
          <w:sz w:val="32"/>
          <w:szCs w:val="32"/>
          <w:highlight w:val="none"/>
          <w:lang w:val="en-US" w:eastAsia="zh-CN" w:bidi="ar-SA"/>
        </w:rPr>
        <w:t>。</w:t>
      </w:r>
      <w:r>
        <w:rPr>
          <w:rFonts w:hint="eastAsia" w:ascii="仿宋_GB2312" w:hAnsi="仿宋_GB2312" w:eastAsia="仿宋_GB2312" w:cs="仿宋_GB2312"/>
          <w:color w:val="auto"/>
          <w:sz w:val="32"/>
          <w:highlight w:val="none"/>
        </w:rPr>
        <w:t>加强“平安宣防共同体”打造和“安全防范示范小区”创建，发展壮大“平安合伙人”等群防群治力量。加强未成年人违法犯罪预防和治理，建立完善未成年人专门教育、专门矫治、社会观护等机制，加强青少年普法宣传和教育矫治。</w:t>
      </w:r>
    </w:p>
    <w:p w14:paraId="4D233984">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428" w:name="_Toc2532"/>
      <w:bookmarkStart w:id="429" w:name="_Toc26845"/>
      <w:r>
        <w:rPr>
          <w:rFonts w:hint="eastAsia" w:ascii="黑体" w:hAnsi="黑体" w:eastAsia="黑体" w:cs="黑体"/>
          <w:color w:val="auto"/>
          <w:highlight w:val="none"/>
          <w:lang w:val="en-US" w:eastAsia="zh-CN"/>
        </w:rPr>
        <w:t>四、保障人民生命健康安全</w:t>
      </w:r>
      <w:bookmarkEnd w:id="422"/>
      <w:bookmarkEnd w:id="423"/>
      <w:bookmarkEnd w:id="424"/>
      <w:bookmarkEnd w:id="425"/>
      <w:bookmarkEnd w:id="426"/>
      <w:bookmarkEnd w:id="427"/>
      <w:bookmarkEnd w:id="428"/>
      <w:bookmarkEnd w:id="429"/>
    </w:p>
    <w:p w14:paraId="414A9E3D">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color w:val="auto"/>
          <w:kern w:val="2"/>
          <w:szCs w:val="32"/>
          <w:highlight w:val="none"/>
        </w:rPr>
        <w:t>坚持人民至上、生命至上，</w:t>
      </w:r>
      <w:r>
        <w:rPr>
          <w:rFonts w:hint="eastAsia"/>
          <w:color w:val="auto"/>
          <w:kern w:val="2"/>
          <w:szCs w:val="32"/>
          <w:highlight w:val="none"/>
          <w:lang w:eastAsia="zh-CN"/>
        </w:rPr>
        <w:t>统筹发展和安全</w:t>
      </w:r>
      <w:r>
        <w:rPr>
          <w:rFonts w:hint="eastAsia"/>
          <w:color w:val="auto"/>
          <w:kern w:val="2"/>
          <w:szCs w:val="32"/>
          <w:highlight w:val="none"/>
        </w:rPr>
        <w:t>，构建全链条、多维度、立体化的公共安全防护体系，筑牢城市韧性根基，为人民群众创造安业安居安康的安全环境。</w:t>
      </w:r>
    </w:p>
    <w:p w14:paraId="539C89D9">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highlight w:val="none"/>
          <w:lang w:val="en"/>
        </w:rPr>
      </w:pPr>
      <w:r>
        <w:rPr>
          <w:rFonts w:hint="eastAsia" w:ascii="楷体_GB2312" w:hAnsi="楷体_GB2312" w:eastAsia="楷体_GB2312" w:cs="楷体_GB2312"/>
          <w:b w:val="0"/>
          <w:bCs w:val="0"/>
          <w:color w:val="auto"/>
          <w:spacing w:val="0"/>
          <w:sz w:val="32"/>
          <w:szCs w:val="32"/>
          <w:highlight w:val="none"/>
          <w:lang w:val="en-US" w:eastAsia="zh-CN"/>
        </w:rPr>
        <w:t>（一）</w:t>
      </w:r>
      <w:r>
        <w:rPr>
          <w:rFonts w:hint="eastAsia" w:ascii="楷体_GB2312" w:hAnsi="楷体_GB2312" w:eastAsia="楷体_GB2312" w:cs="楷体_GB2312"/>
          <w:color w:val="auto"/>
          <w:highlight w:val="none"/>
          <w:lang w:val="en-US" w:eastAsia="zh-CN"/>
        </w:rPr>
        <w:t>提升现代化应急救援与防灾减灾能力。</w:t>
      </w:r>
      <w:r>
        <w:rPr>
          <w:rFonts w:hint="eastAsia" w:ascii="仿宋_GB2312" w:hAnsi="仿宋_GB2312" w:eastAsia="仿宋_GB2312" w:cs="仿宋_GB2312"/>
          <w:color w:val="auto"/>
          <w:highlight w:val="none"/>
          <w:lang w:val="en-US" w:eastAsia="zh-CN"/>
        </w:rPr>
        <w:t>深入践行“两个坚持、三个转变”防灾减灾救灾理念，筑牢风险防范化解防线。健全完善监测预警机制，建立城市安全风险动态清单，优化监测站点布局，提升灾害早期识别与智能预警能力。规范提升应急避难场所建设，深化自然灾害综合风险普查成果常态化应用。强化先进技术装备支撑，积极应用无人机、卫星通信、移动指挥平台等，提升复杂环境下侦察、通信与救援效能。建强综合应急救援力量，统筹推进国家综合性消防救援队伍、各类专业救援队伍和社会应急力量协同发展，强化实战化演练与专业化培训。夯实应急物资保障基础，优化储备布局，增强基层储备能力，推进应急物资前置储备点建设。构建平战一体的现代化国防动员体系，提升城市人防防护体系建设。持续深化社会共治，开展常态化防灾减灾科普宣传，完善社会力量有序参与机制，筑牢人民防线。</w:t>
      </w:r>
    </w:p>
    <w:p w14:paraId="070CD5FE">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楷体_GB2312" w:hAnsi="楷体_GB2312" w:eastAsia="楷体_GB2312" w:cs="楷体_GB2312"/>
          <w:b w:val="0"/>
          <w:bCs w:val="0"/>
          <w:color w:val="auto"/>
          <w:spacing w:val="0"/>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（二）持续推进医疗应急体系和能力建设。</w:t>
      </w:r>
      <w:r>
        <w:rPr>
          <w:rFonts w:hint="eastAsia"/>
          <w:color w:val="auto"/>
          <w:kern w:val="2"/>
          <w:szCs w:val="32"/>
          <w:highlight w:val="none"/>
        </w:rPr>
        <w:t>完善传染病监测预警网络，扩大覆盖、提升时效，实现早发现、早处置。健全分级诊疗救治体系，建立多部门协同响应机制，优化医疗资源快速调配方案。推进中西医结合救治，推广中医药在疫病防治康复中的应用。加大疾控机构和传染病救治设施投入，配齐先进检测与防护装备。实施公共卫生应急管理改革攻坚，加强人才引育和应急培训演练，提升专业化处置能力。</w:t>
      </w:r>
    </w:p>
    <w:p w14:paraId="4F6C846E">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b w:val="0"/>
          <w:bCs w:val="0"/>
          <w:color w:val="auto"/>
          <w:spacing w:val="0"/>
          <w:kern w:val="2"/>
          <w:sz w:val="3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（三）深化“食安济阳”建设。</w:t>
      </w:r>
      <w:r>
        <w:rPr>
          <w:rFonts w:hint="eastAsia" w:ascii="仿宋_GB2312" w:hAnsi="仿宋_GB2312" w:eastAsia="仿宋_GB2312" w:cs="仿宋_GB2312"/>
          <w:b w:val="0"/>
          <w:i w:val="0"/>
          <w:color w:val="auto"/>
          <w:sz w:val="32"/>
          <w:highlight w:val="none"/>
          <w:u w:val="none"/>
        </w:rPr>
        <w:t>健全农产品全程追溯体系，实现从田间到餐桌全链条可查可控。强化食品生产、流通、餐饮全环节监管，严打违法添加等行为，</w:t>
      </w:r>
      <w:r>
        <w:rPr>
          <w:rFonts w:hint="eastAsia" w:ascii="仿宋_GB2312" w:hAnsi="仿宋_GB2312" w:eastAsia="仿宋_GB2312" w:cs="仿宋_GB2312"/>
          <w:b w:val="0"/>
          <w:i w:val="0"/>
          <w:color w:val="auto"/>
          <w:sz w:val="32"/>
          <w:highlight w:val="none"/>
          <w:u w:val="none"/>
          <w:lang w:eastAsia="zh-CN"/>
        </w:rPr>
        <w:t>重点加强食用农产品集中交易市场产品质量管控，推动市场开办方落实主体责任，大力推广</w:t>
      </w:r>
      <w:r>
        <w:rPr>
          <w:rFonts w:hint="eastAsia" w:ascii="仿宋_GB2312" w:hAnsi="仿宋_GB2312" w:eastAsia="仿宋_GB2312" w:cs="仿宋_GB2312"/>
          <w:b w:val="0"/>
          <w:i w:val="0"/>
          <w:color w:val="auto"/>
          <w:sz w:val="32"/>
          <w:highlight w:val="none"/>
          <w:u w:val="none"/>
        </w:rPr>
        <w:t>“互联网</w:t>
      </w:r>
      <w:r>
        <w:rPr>
          <w:rFonts w:hint="eastAsia"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rPr>
        <w:t>AI监管”</w:t>
      </w:r>
      <w:r>
        <w:rPr>
          <w:rFonts w:hint="eastAsia" w:cs="仿宋_GB2312"/>
          <w:b w:val="0"/>
          <w:i w:val="0"/>
          <w:color w:val="auto"/>
          <w:sz w:val="32"/>
          <w:highlight w:val="none"/>
          <w:u w:val="none"/>
          <w:lang w:val="en-US" w:eastAsia="zh-CN"/>
        </w:rPr>
        <w:t>模式</w:t>
      </w:r>
      <w:r>
        <w:rPr>
          <w:rFonts w:hint="eastAsia" w:ascii="仿宋_GB2312" w:hAnsi="仿宋_GB2312" w:eastAsia="仿宋_GB2312" w:cs="仿宋_GB2312"/>
          <w:b w:val="0"/>
          <w:i w:val="0"/>
          <w:color w:val="auto"/>
          <w:sz w:val="32"/>
          <w:highlight w:val="none"/>
          <w:u w:val="none"/>
        </w:rPr>
        <w:t>。加强药品、医疗器械全生命周期监管，严控高风险产品安全</w:t>
      </w:r>
      <w:r>
        <w:rPr>
          <w:rFonts w:hint="eastAsia" w:cs="仿宋_GB2312"/>
          <w:b w:val="0"/>
          <w:i w:val="0"/>
          <w:color w:val="auto"/>
          <w:sz w:val="32"/>
          <w:highlight w:val="none"/>
          <w:u w:val="none"/>
          <w:lang w:val="en-US" w:eastAsia="zh-CN"/>
        </w:rPr>
        <w:t>风险</w:t>
      </w:r>
      <w:r>
        <w:rPr>
          <w:rFonts w:hint="eastAsia" w:ascii="仿宋_GB2312" w:hAnsi="仿宋_GB2312" w:eastAsia="仿宋_GB2312" w:cs="仿宋_GB2312"/>
          <w:b w:val="0"/>
          <w:i w:val="0"/>
          <w:color w:val="auto"/>
          <w:sz w:val="32"/>
          <w:highlight w:val="none"/>
          <w:u w:val="none"/>
        </w:rPr>
        <w:t>。建立风险研判与预警发布机制，常态化开展食品药品安全宣传教育，提升公众安全意识和防范能力</w:t>
      </w:r>
      <w:r>
        <w:rPr>
          <w:rFonts w:hint="eastAsia" w:ascii="仿宋_GB2312" w:hAnsi="仿宋_GB2312" w:eastAsia="仿宋_GB2312" w:cs="仿宋_GB2312"/>
          <w:b w:val="0"/>
          <w:i w:val="0"/>
          <w:color w:val="auto"/>
          <w:sz w:val="32"/>
          <w:highlight w:val="none"/>
          <w:u w:val="none"/>
          <w:lang w:eastAsia="zh-CN"/>
        </w:rPr>
        <w:t>。</w:t>
      </w:r>
    </w:p>
    <w:p w14:paraId="09A95659">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eastAsia="仿宋_GB2312"/>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（四）守住安全生产红线。</w:t>
      </w:r>
      <w:r>
        <w:rPr>
          <w:rFonts w:hint="eastAsia" w:ascii="仿宋_GB2312" w:hAnsi="仿宋_GB2312" w:eastAsia="仿宋_GB2312" w:cs="仿宋_GB2312"/>
          <w:color w:val="auto"/>
          <w:highlight w:val="none"/>
          <w:lang w:val="en-US" w:eastAsia="zh-CN"/>
        </w:rPr>
        <w:t>坚持“三管三必须”，完善安全生产责任体系，强化和落实生产经营单位主体责任与政府监管责任，完善风险排查、责任倒查及审批监管协同机制，推进社会共治。坚持安全第一、预防为主、综合治理，聚焦危化品、建筑施工、交通运输、消防、特种设备等重点领域，推动老城片区消防设施升级与应急救援能力提升，强化安全风险分级管控和隐患排查治理双重预防机制建设。持续推广“两单三卡”管理模式，提升小微企业安全管理水平。加强安全生产标准化建设，健全风险防范化解机制，强化安全培训和应急联动，定期开展多部门联合演练，提升事故应急处置效能，坚决遏制重特大事故发生。</w:t>
      </w:r>
    </w:p>
    <w:p w14:paraId="2E079681">
      <w:pPr>
        <w:pStyle w:val="3"/>
        <w:keepNext w:val="0"/>
        <w:keepLines w:val="0"/>
        <w:pageBreakBefore w:val="0"/>
        <w:widowControl w:val="0"/>
        <w:shd w:val="clear"/>
        <w:kinsoku/>
        <w:wordWrap/>
        <w:overflowPunct w:val="0"/>
        <w:topLinePunct w:val="0"/>
        <w:autoSpaceDE/>
        <w:autoSpaceDN/>
        <w:bidi w:val="0"/>
        <w:spacing w:beforeLines="0" w:afterLines="0" w:line="600" w:lineRule="exact"/>
        <w:ind w:firstLine="640" w:firstLineChars="200"/>
        <w:jc w:val="both"/>
        <w:textAlignment w:val="auto"/>
        <w:rPr>
          <w:rFonts w:hint="eastAsia" w:ascii="黑体" w:hAnsi="黑体" w:eastAsia="黑体" w:cs="黑体"/>
          <w:color w:val="auto"/>
          <w:highlight w:val="none"/>
          <w:lang w:val="en-US" w:eastAsia="zh-CN"/>
        </w:rPr>
      </w:pPr>
      <w:bookmarkStart w:id="430" w:name="_Toc18847"/>
      <w:bookmarkStart w:id="431" w:name="_Toc10442"/>
      <w:r>
        <w:rPr>
          <w:rFonts w:hint="eastAsia" w:ascii="黑体" w:hAnsi="黑体" w:eastAsia="黑体" w:cs="黑体"/>
          <w:color w:val="auto"/>
          <w:highlight w:val="none"/>
          <w:lang w:val="en-US" w:eastAsia="zh-CN"/>
        </w:rPr>
        <w:t>五、筑牢经济安全屏障</w:t>
      </w:r>
      <w:bookmarkEnd w:id="430"/>
      <w:bookmarkEnd w:id="431"/>
    </w:p>
    <w:p w14:paraId="517F3A5C">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eastAsia="zh-CN"/>
        </w:rPr>
      </w:pPr>
      <w:r>
        <w:rPr>
          <w:rFonts w:hint="eastAsia"/>
          <w:color w:val="auto"/>
          <w:kern w:val="2"/>
          <w:szCs w:val="32"/>
          <w:highlight w:val="none"/>
        </w:rPr>
        <w:t>坚持统筹发展和安全，强化底线思维与系统观念，着力构建全周期、多维度的经济安全防控体系。聚焦风险预警、产业韧性、民生保障与金融稳定关键领域，全面提升经济安全治理能力</w:t>
      </w:r>
      <w:r>
        <w:rPr>
          <w:rFonts w:hint="eastAsia"/>
          <w:color w:val="auto"/>
          <w:kern w:val="2"/>
          <w:szCs w:val="32"/>
          <w:highlight w:val="none"/>
          <w:lang w:eastAsia="zh-CN"/>
        </w:rPr>
        <w:t>。</w:t>
      </w:r>
    </w:p>
    <w:p w14:paraId="01E3924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rPr>
      </w:pPr>
      <w:r>
        <w:rPr>
          <w:rFonts w:hint="eastAsia" w:ascii="楷体_GB2312" w:hAnsi="楷体_GB2312" w:eastAsia="楷体_GB2312" w:cs="楷体_GB2312"/>
          <w:b w:val="0"/>
          <w:bCs w:val="0"/>
          <w:color w:val="auto"/>
          <w:spacing w:val="0"/>
          <w:sz w:val="32"/>
          <w:szCs w:val="32"/>
          <w:highlight w:val="none"/>
          <w:lang w:val="en-US" w:eastAsia="zh-CN"/>
        </w:rPr>
        <w:t>（一）健全经济安全风险防控机制。</w:t>
      </w:r>
      <w:r>
        <w:rPr>
          <w:rFonts w:hint="eastAsia"/>
          <w:color w:val="auto"/>
          <w:kern w:val="2"/>
          <w:szCs w:val="32"/>
          <w:highlight w:val="none"/>
        </w:rPr>
        <w:t>加强经济安全风险预警防控机制和能力建设，强化经济运行调度，及时应对经济领域可能出现的各类风险。加强大宗物资战略储备，优化储备结构和布局，保障战略资源安全，确保在突发情况下能够有效满足生产生活需求。提升产业链供应链韧性，强化链式风险防控，建立重点产业链供应链安全动态评估机制，聚焦主导产业断链风险，实施“一链一策”精准防控。开展融链固链专项行动，推动关键配套企业本地化布局，建设应急产能储备库，增强产业链供应链的稳定性和抗风险能力。同时，切实维护水利、电力、供水、油气、交通、气象、通信、网络、金融等重要基础设施安全，为经济社会稳定运行提供坚实支撑。</w:t>
      </w:r>
    </w:p>
    <w:p w14:paraId="581A493A">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ascii="楷体_GB2312" w:hAnsi="楷体_GB2312" w:eastAsia="楷体_GB2312" w:cs="楷体_GB2312"/>
          <w:b w:val="0"/>
          <w:bCs w:val="0"/>
          <w:color w:val="auto"/>
          <w:spacing w:val="0"/>
          <w:sz w:val="32"/>
          <w:szCs w:val="32"/>
          <w:highlight w:val="none"/>
          <w:lang w:val="en-US" w:eastAsia="zh-CN"/>
        </w:rPr>
        <w:t>（二）完善民生与金融风险化解。</w:t>
      </w:r>
      <w:r>
        <w:rPr>
          <w:rFonts w:hint="eastAsia"/>
          <w:color w:val="auto"/>
          <w:kern w:val="2"/>
          <w:szCs w:val="32"/>
          <w:highlight w:val="none"/>
          <w:lang w:val="en-US" w:eastAsia="zh-CN"/>
        </w:rPr>
        <w:t>严防债务金融风险，严格落实地方化债主体责任，坚决遏制新增隐性债务，确保债务规模在合理可控范围内。健全中小微企业信贷风险分类管控机制，提升金融服务中小微企业的精准性和安全性。促进房地产市场平稳运行，建立房地产项目全周期监管机制，加强对项目开发、销售、交付等环节的监管，推动产业园区配套住房供需平衡，保障房地产市场健康发展。切实做好涉众金融风险防范化解工作，加强风险监测预警与投资者宣传教育，依法严厉打击非法集资等金融违法犯罪活动，切实保护人民群众财产安全。防范新经济领域风险，高度关注新经济领域可能出现的风险点，加强风险监测和研判，防止风险传导扩散，确保不发生系统性区域性风险，切实维护民生稳定和金融安全。</w:t>
      </w:r>
    </w:p>
    <w:p w14:paraId="76A4C964">
      <w:pPr>
        <w:rPr>
          <w:rFonts w:hint="eastAsia"/>
          <w:color w:val="auto"/>
          <w:kern w:val="2"/>
          <w:szCs w:val="32"/>
          <w:highlight w:val="none"/>
          <w:lang w:val="en-US" w:eastAsia="zh-CN"/>
        </w:rPr>
      </w:pPr>
      <w:r>
        <w:rPr>
          <w:rFonts w:hint="eastAsia"/>
          <w:color w:val="auto"/>
          <w:kern w:val="2"/>
          <w:szCs w:val="32"/>
          <w:highlight w:val="none"/>
          <w:lang w:val="en-US" w:eastAsia="zh-CN"/>
        </w:rPr>
        <w:br w:type="page"/>
      </w:r>
    </w:p>
    <w:p w14:paraId="3C732125">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default"/>
          <w:color w:val="auto"/>
          <w:kern w:val="2"/>
          <w:szCs w:val="32"/>
          <w:highlight w:val="none"/>
          <w:lang w:val="en-US" w:eastAsia="zh-CN"/>
        </w:rPr>
      </w:pPr>
    </w:p>
    <w:p w14:paraId="7149AB0E">
      <w:pPr>
        <w:keepNext w:val="0"/>
        <w:keepLines w:val="0"/>
        <w:pageBreakBefore w:val="0"/>
        <w:widowControl w:val="0"/>
        <w:shd w:val="clear"/>
        <w:kinsoku/>
        <w:wordWrap/>
        <w:overflowPunct w:val="0"/>
        <w:topLinePunct w:val="0"/>
        <w:autoSpaceDE/>
        <w:autoSpaceDN/>
        <w:bidi w:val="0"/>
        <w:adjustRightInd/>
        <w:snapToGrid/>
        <w:spacing w:before="157" w:beforeLines="50" w:after="157" w:afterLines="50" w:line="600" w:lineRule="exact"/>
        <w:ind w:left="0" w:leftChars="0" w:right="0" w:rightChars="0" w:firstLine="0" w:firstLineChars="0"/>
        <w:jc w:val="center"/>
        <w:textAlignment w:val="auto"/>
        <w:outlineLvl w:val="0"/>
        <w:rPr>
          <w:rFonts w:hint="eastAsia" w:ascii="方正小标宋简体" w:hAnsi="方正小标宋简体" w:eastAsia="方正小标宋简体" w:cs="方正小标宋简体"/>
          <w:color w:val="auto"/>
          <w:kern w:val="2"/>
          <w:szCs w:val="24"/>
          <w:highlight w:val="none"/>
          <w:lang w:val="en-US" w:eastAsia="zh-CN"/>
        </w:rPr>
      </w:pPr>
      <w:bookmarkStart w:id="432" w:name="_Toc32136"/>
      <w:bookmarkStart w:id="433" w:name="_Toc13817"/>
      <w:r>
        <w:rPr>
          <w:rFonts w:hint="eastAsia" w:ascii="方正小标宋简体" w:hAnsi="方正小标宋简体" w:eastAsia="方正小标宋简体" w:cs="方正小标宋简体"/>
          <w:color w:val="auto"/>
          <w:kern w:val="2"/>
          <w:szCs w:val="24"/>
          <w:highlight w:val="none"/>
          <w:lang w:val="en-US" w:eastAsia="zh-CN"/>
        </w:rPr>
        <w:t xml:space="preserve">第十三章  </w:t>
      </w:r>
      <w:bookmarkEnd w:id="401"/>
      <w:bookmarkEnd w:id="402"/>
      <w:bookmarkEnd w:id="403"/>
      <w:bookmarkEnd w:id="404"/>
      <w:bookmarkEnd w:id="405"/>
      <w:bookmarkEnd w:id="406"/>
      <w:r>
        <w:rPr>
          <w:rFonts w:hint="eastAsia" w:ascii="方正小标宋简体" w:hAnsi="方正小标宋简体" w:eastAsia="方正小标宋简体" w:cs="方正小标宋简体"/>
          <w:color w:val="auto"/>
          <w:kern w:val="2"/>
          <w:szCs w:val="24"/>
          <w:highlight w:val="none"/>
          <w:lang w:val="en-US" w:eastAsia="zh-CN"/>
        </w:rPr>
        <w:t>加强党的全面领导，团结全区人民为实现“十五五”规划共同奋斗</w:t>
      </w:r>
      <w:bookmarkEnd w:id="432"/>
      <w:bookmarkEnd w:id="433"/>
    </w:p>
    <w:p w14:paraId="16B1AA86">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bookmarkStart w:id="434" w:name="_Toc28456"/>
      <w:bookmarkStart w:id="435" w:name="_Toc19139"/>
      <w:bookmarkStart w:id="436" w:name="_Toc18347"/>
      <w:bookmarkStart w:id="437" w:name="_Toc18397"/>
      <w:bookmarkStart w:id="438" w:name="_Toc12885"/>
      <w:r>
        <w:rPr>
          <w:rFonts w:hint="eastAsia"/>
          <w:color w:val="auto"/>
          <w:kern w:val="2"/>
          <w:szCs w:val="32"/>
          <w:highlight w:val="none"/>
          <w:lang w:val="en-US" w:eastAsia="zh-CN"/>
        </w:rPr>
        <w:t>深入贯彻新时代党的建设总要求，充分调动一切积极因素，团结一切可以团结的力量，构建科学支撑体系和严格评估机制，切实把党的领导制度优势转化为实实在在的治理效能，奋力将“十五五”规划描绘的宏伟蓝图变为美好现实。</w:t>
      </w:r>
    </w:p>
    <w:p w14:paraId="720616E5">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1"/>
        <w:rPr>
          <w:rFonts w:hint="eastAsia" w:ascii="黑体" w:hAnsi="黑体" w:eastAsia="黑体" w:cs="黑体"/>
          <w:color w:val="auto"/>
          <w:kern w:val="2"/>
          <w:szCs w:val="32"/>
          <w:highlight w:val="none"/>
          <w:lang w:val="en-US" w:eastAsia="zh-CN"/>
        </w:rPr>
      </w:pPr>
      <w:bookmarkStart w:id="439" w:name="_Toc26686"/>
      <w:bookmarkStart w:id="440" w:name="_Toc10614"/>
      <w:r>
        <w:rPr>
          <w:rFonts w:hint="eastAsia" w:ascii="黑体" w:hAnsi="黑体" w:eastAsia="黑体" w:cs="黑体"/>
          <w:color w:val="auto"/>
          <w:kern w:val="2"/>
          <w:szCs w:val="32"/>
          <w:highlight w:val="none"/>
          <w:lang w:val="en-US" w:eastAsia="zh-CN"/>
        </w:rPr>
        <w:t>一、加强党的全面领导</w:t>
      </w:r>
      <w:bookmarkEnd w:id="439"/>
      <w:bookmarkEnd w:id="440"/>
    </w:p>
    <w:p w14:paraId="70D03452">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color w:val="auto"/>
          <w:kern w:val="2"/>
          <w:szCs w:val="32"/>
          <w:highlight w:val="none"/>
          <w:lang w:val="en-US" w:eastAsia="zh-CN"/>
        </w:rPr>
        <w:t>深入学习贯彻习近平新时代中国特色社会主义思想，坚定拥护“两个确立”、坚决做到“两个维护”。充分发挥区委总揽全局、协调各方的领导作用，把党的领导贯穿于规划实施的全过程和各领域。各级党组织切实发挥好战斗堡垒作用，从严从实抓好班子、带好队伍，凝聚思想共识，拧成工作合力，压实工作责任，为实现“十五五”发展蓝图提供坚强政治保证。</w:t>
      </w:r>
    </w:p>
    <w:p w14:paraId="494A76E6">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1"/>
        <w:rPr>
          <w:rFonts w:hint="eastAsia" w:ascii="黑体" w:hAnsi="黑体" w:eastAsia="黑体" w:cs="黑体"/>
          <w:color w:val="auto"/>
          <w:kern w:val="2"/>
          <w:szCs w:val="32"/>
          <w:highlight w:val="none"/>
          <w:lang w:val="en-US" w:eastAsia="zh-CN"/>
        </w:rPr>
      </w:pPr>
      <w:bookmarkStart w:id="441" w:name="_Toc12319"/>
      <w:bookmarkStart w:id="442" w:name="_Toc15782"/>
      <w:r>
        <w:rPr>
          <w:rFonts w:hint="eastAsia" w:ascii="黑体" w:hAnsi="黑体" w:eastAsia="黑体" w:cs="黑体"/>
          <w:color w:val="auto"/>
          <w:kern w:val="2"/>
          <w:szCs w:val="32"/>
          <w:highlight w:val="none"/>
          <w:lang w:val="en-US" w:eastAsia="zh-CN"/>
        </w:rPr>
        <w:t>二、健全规划实施机制</w:t>
      </w:r>
      <w:bookmarkEnd w:id="441"/>
      <w:bookmarkEnd w:id="442"/>
    </w:p>
    <w:p w14:paraId="23F794CE">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color w:val="auto"/>
          <w:kern w:val="2"/>
          <w:szCs w:val="32"/>
          <w:highlight w:val="none"/>
          <w:lang w:val="en-US" w:eastAsia="zh-CN"/>
        </w:rPr>
        <w:t>充分发挥规划战略导向作用，坚持规划统筹，严格控制规划数量，着力提升编制质量。健全以全区发展规划为统领、空间规划为基础、专项规划和区域规划为支撑，定位准确、边界清晰、功能互补、统一衔接的区级规划体系。加强规划体系的统一管理和综合协调，规范规划编制程序，明确各类规划的编制条件、审核标准和必要性论证要求。健全以“十五五”规划为依据的经济社会发展年度计划实施机制，按照规划目标任务逐年分解，明确年度发展目标、任务、牵头单位和工作责任。完善重点任务落实机制，对本规划确定的约束性指标和重大工程、重大项目、重大政策、重大改革任务，进一步明确责任主体、实施进度，加强统筹协调、审计监督确保如期完成。各部门、各街道要细化落实本规划提出的目标任务，制定实施方案，形成支撑和抓手。</w:t>
      </w:r>
    </w:p>
    <w:p w14:paraId="68456FB5">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1"/>
        <w:rPr>
          <w:rFonts w:hint="eastAsia" w:ascii="黑体" w:hAnsi="黑体" w:eastAsia="黑体" w:cs="黑体"/>
          <w:color w:val="auto"/>
          <w:kern w:val="2"/>
          <w:szCs w:val="32"/>
          <w:highlight w:val="none"/>
          <w:lang w:val="en-US" w:eastAsia="zh-CN"/>
        </w:rPr>
      </w:pPr>
      <w:bookmarkStart w:id="443" w:name="_Toc6264"/>
      <w:bookmarkStart w:id="444" w:name="_Toc19382"/>
      <w:r>
        <w:rPr>
          <w:rFonts w:hint="eastAsia" w:ascii="黑体" w:hAnsi="黑体" w:eastAsia="黑体" w:cs="黑体"/>
          <w:color w:val="auto"/>
          <w:kern w:val="2"/>
          <w:szCs w:val="32"/>
          <w:highlight w:val="none"/>
          <w:lang w:val="en-US" w:eastAsia="zh-CN"/>
        </w:rPr>
        <w:t>三、强化项目要素支撑</w:t>
      </w:r>
      <w:bookmarkEnd w:id="443"/>
      <w:bookmarkEnd w:id="444"/>
    </w:p>
    <w:p w14:paraId="2C49C3EA">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color w:val="auto"/>
          <w:kern w:val="2"/>
          <w:szCs w:val="32"/>
          <w:highlight w:val="none"/>
          <w:lang w:val="en-US" w:eastAsia="zh-CN"/>
        </w:rPr>
        <w:t>牢固树立“项目为王”理念，围绕重点产业、基础设施、民生保障等领域，谋划储备一批大项目、好项目，充实项目库。加强项目全生命周期管理，优化项目审批流程，强化土地、资金、人才等要素保障，建立要素跟着项目走机制，保障项目要素需求，谋划编制土地征收成片开发方案，做好国家、省、市、区项目的土地征收工作，提高征地报批效率。拓宽项目融资渠道，加大金融支持实体经济力度。强化人才支撑，为规划实施提供坚实要素保障，以高质量项目推动全区经济社会持续发展。</w:t>
      </w:r>
    </w:p>
    <w:p w14:paraId="406C93A9">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1"/>
        <w:rPr>
          <w:rFonts w:hint="eastAsia" w:ascii="黑体" w:hAnsi="黑体" w:eastAsia="黑体" w:cs="黑体"/>
          <w:color w:val="auto"/>
          <w:kern w:val="2"/>
          <w:szCs w:val="32"/>
          <w:highlight w:val="none"/>
          <w:lang w:val="en-US" w:eastAsia="zh-CN"/>
        </w:rPr>
      </w:pPr>
      <w:bookmarkStart w:id="445" w:name="_Toc22362"/>
      <w:bookmarkStart w:id="446" w:name="_Toc15838"/>
      <w:r>
        <w:rPr>
          <w:rFonts w:hint="eastAsia" w:ascii="黑体" w:hAnsi="黑体" w:eastAsia="黑体" w:cs="黑体"/>
          <w:color w:val="auto"/>
          <w:kern w:val="2"/>
          <w:szCs w:val="32"/>
          <w:highlight w:val="none"/>
          <w:lang w:val="en-US" w:eastAsia="zh-CN"/>
        </w:rPr>
        <w:t>四、做好规划体检评估</w:t>
      </w:r>
      <w:bookmarkEnd w:id="445"/>
      <w:bookmarkEnd w:id="446"/>
    </w:p>
    <w:p w14:paraId="0F6362E6">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color w:val="auto"/>
          <w:kern w:val="2"/>
          <w:szCs w:val="32"/>
          <w:highlight w:val="none"/>
          <w:lang w:val="en-US" w:eastAsia="zh-CN"/>
        </w:rPr>
        <w:t>建立健全规划实施监测评估机制，定期对规划实施情况进行跟踪监测、统计分析、全面评估。制定科学的评估指标体系，量化评估规划目标任务完成进度、政策措施执行效果、项目建设成效等。积极引入第三方评估，提升评估的客观性和专业性。强化评估结果运用，及时发现和解决规划实施中的问题。健全规划动态调整机制，根据宏观环境变化和评估情况，依法依规对规划进行必要调整完善，增强规划的战略性、适应性和可操作性，确保规划顺利实施，助力全区实现高质量发展目标。</w:t>
      </w:r>
    </w:p>
    <w:p w14:paraId="1F91449F">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1"/>
        <w:rPr>
          <w:rFonts w:hint="eastAsia" w:ascii="黑体" w:hAnsi="黑体" w:eastAsia="黑体" w:cs="黑体"/>
          <w:color w:val="auto"/>
          <w:kern w:val="2"/>
          <w:szCs w:val="32"/>
          <w:highlight w:val="none"/>
          <w:lang w:val="en-US" w:eastAsia="zh-CN"/>
        </w:rPr>
      </w:pPr>
      <w:bookmarkStart w:id="447" w:name="_Toc31951"/>
      <w:bookmarkStart w:id="448" w:name="_Toc11296"/>
      <w:r>
        <w:rPr>
          <w:rFonts w:hint="eastAsia" w:ascii="黑体" w:hAnsi="黑体" w:eastAsia="黑体" w:cs="黑体"/>
          <w:color w:val="auto"/>
          <w:kern w:val="2"/>
          <w:szCs w:val="32"/>
          <w:highlight w:val="none"/>
          <w:lang w:val="en-US" w:eastAsia="zh-CN"/>
        </w:rPr>
        <w:t>五、动员人民广泛参与</w:t>
      </w:r>
      <w:bookmarkEnd w:id="447"/>
      <w:bookmarkEnd w:id="448"/>
    </w:p>
    <w:bookmarkEnd w:id="434"/>
    <w:bookmarkEnd w:id="435"/>
    <w:bookmarkEnd w:id="436"/>
    <w:bookmarkEnd w:id="437"/>
    <w:bookmarkEnd w:id="438"/>
    <w:p w14:paraId="1D9CD838">
      <w:pPr>
        <w:keepNext w:val="0"/>
        <w:keepLines w:val="0"/>
        <w:pageBreakBefore w:val="0"/>
        <w:widowControl w:val="0"/>
        <w:shd w:val="clear"/>
        <w:kinsoku/>
        <w:wordWrap/>
        <w:overflowPunct w:val="0"/>
        <w:topLinePunct w:val="0"/>
        <w:autoSpaceDE/>
        <w:autoSpaceDN/>
        <w:bidi w:val="0"/>
        <w:adjustRightInd/>
        <w:snapToGrid/>
        <w:spacing w:line="600" w:lineRule="exact"/>
        <w:ind w:left="0" w:leftChars="0" w:firstLine="640" w:firstLineChars="200"/>
        <w:jc w:val="both"/>
        <w:textAlignment w:val="auto"/>
        <w:outlineLvl w:val="9"/>
        <w:rPr>
          <w:rFonts w:hint="eastAsia"/>
          <w:color w:val="auto"/>
          <w:kern w:val="2"/>
          <w:szCs w:val="32"/>
          <w:highlight w:val="none"/>
          <w:lang w:val="en-US" w:eastAsia="zh-CN"/>
        </w:rPr>
      </w:pPr>
      <w:r>
        <w:rPr>
          <w:rFonts w:hint="eastAsia"/>
          <w:color w:val="auto"/>
          <w:kern w:val="2"/>
          <w:szCs w:val="32"/>
          <w:highlight w:val="none"/>
          <w:lang w:val="en-US" w:eastAsia="zh-CN"/>
        </w:rPr>
        <w:t>坚持“人民城市人民建、人民城市为人民”，广泛宣传规划目标与任务，提高全社会对规划的认知度和参与度。健全政府与企业、群众的常态化沟通机制，畅通公众意见反馈渠道。深入推进政务公开，及时公布规划实施进展和重大成果。充分调动社会各界积极性、主动性和创造性，引导市场主体、社会组织和广大群众共同参与规划实施，营造全社会凝心聚力、共建共享美丽济阳的良好氛围。</w:t>
      </w:r>
    </w:p>
    <w:sectPr>
      <w:footerReference r:id="rId7" w:type="default"/>
      <w:pgSz w:w="11906" w:h="16838"/>
      <w:pgMar w:top="2098" w:right="1474" w:bottom="1984" w:left="1587"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3E14BA8-EC58-4FDC-853F-B7D66E33F25A}"/>
  </w:font>
  <w:font w:name="黑体">
    <w:panose1 w:val="02010609060101010101"/>
    <w:charset w:val="86"/>
    <w:family w:val="auto"/>
    <w:pitch w:val="default"/>
    <w:sig w:usb0="800002BF" w:usb1="38CF7CFA" w:usb2="00000016" w:usb3="00000000" w:csb0="00040001" w:csb1="00000000"/>
    <w:embedRegular r:id="rId2" w:fontKey="{F98B7C7D-8BCE-4ED1-AC07-1884E37C7A2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93D3F3C-CFEA-40D1-9332-08373226A949}"/>
  </w:font>
  <w:font w:name="仿宋_GB2312">
    <w:panose1 w:val="02010609030101010101"/>
    <w:charset w:val="86"/>
    <w:family w:val="modern"/>
    <w:pitch w:val="default"/>
    <w:sig w:usb0="00000001" w:usb1="080E0000" w:usb2="00000000" w:usb3="00000000" w:csb0="00040000" w:csb1="00000000"/>
    <w:embedRegular r:id="rId4" w:fontKey="{F5A0C8F0-0666-4CC8-B02F-7F3299407BD6}"/>
  </w:font>
  <w:font w:name="楷体_GB2312">
    <w:panose1 w:val="02010609030101010101"/>
    <w:charset w:val="86"/>
    <w:family w:val="auto"/>
    <w:pitch w:val="default"/>
    <w:sig w:usb0="00000001" w:usb1="080E0000" w:usb2="00000000" w:usb3="00000000" w:csb0="00040000" w:csb1="00000000"/>
    <w:embedRegular r:id="rId5" w:fontKey="{B7661F61-C0C4-49DB-AB34-ECDBF6CB0B5C}"/>
  </w:font>
  <w:font w:name="方正小标宋简体">
    <w:panose1 w:val="02010601030101010101"/>
    <w:charset w:val="86"/>
    <w:family w:val="auto"/>
    <w:pitch w:val="default"/>
    <w:sig w:usb0="00000001" w:usb1="080E0000" w:usb2="00000000" w:usb3="00000000" w:csb0="00040000" w:csb1="00000000"/>
  </w:font>
  <w:font w:name="文星仿宋..嬀.">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FangSong_GB2312">
    <w:altName w:val="仿宋_GB2312"/>
    <w:panose1 w:val="00000000000000000000"/>
    <w:charset w:val="86"/>
    <w:family w:val="auto"/>
    <w:pitch w:val="default"/>
    <w:sig w:usb0="00000000" w:usb1="00000000" w:usb2="00000000" w:usb3="00000000" w:csb0="00040000" w:csb1="00000000"/>
    <w:embedRegular r:id="rId6" w:fontKey="{63087A6F-2E7A-44B0-B589-3D567B3F3C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93BDB">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D0B00">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1E2E6">
    <w:pPr>
      <w:pStyle w:val="10"/>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675FA">
                          <w:pPr>
                            <w:pStyle w:val="10"/>
                            <w:ind w:left="0" w:leftChars="0" w:firstLine="0" w:firstLineChars="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76675FA">
                    <w:pPr>
                      <w:pStyle w:val="10"/>
                      <w:ind w:left="0" w:leftChars="0" w:firstLine="0" w:firstLineChars="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23B7D"/>
    <w:rsid w:val="005164FD"/>
    <w:rsid w:val="007C2CDB"/>
    <w:rsid w:val="00877629"/>
    <w:rsid w:val="008953F8"/>
    <w:rsid w:val="009E2914"/>
    <w:rsid w:val="00CA613C"/>
    <w:rsid w:val="00CD74DF"/>
    <w:rsid w:val="00F74A57"/>
    <w:rsid w:val="00FA21E1"/>
    <w:rsid w:val="01A00C4B"/>
    <w:rsid w:val="01CE6309"/>
    <w:rsid w:val="020C62E0"/>
    <w:rsid w:val="020F3575"/>
    <w:rsid w:val="02987B74"/>
    <w:rsid w:val="02B57982"/>
    <w:rsid w:val="02BC0120"/>
    <w:rsid w:val="031743B0"/>
    <w:rsid w:val="03920A67"/>
    <w:rsid w:val="04155774"/>
    <w:rsid w:val="04192847"/>
    <w:rsid w:val="043D6C25"/>
    <w:rsid w:val="047415EE"/>
    <w:rsid w:val="04A274D1"/>
    <w:rsid w:val="04C233F1"/>
    <w:rsid w:val="055D0D79"/>
    <w:rsid w:val="05BE5662"/>
    <w:rsid w:val="05C6130B"/>
    <w:rsid w:val="05F078E6"/>
    <w:rsid w:val="062469D1"/>
    <w:rsid w:val="06366E11"/>
    <w:rsid w:val="06543ADB"/>
    <w:rsid w:val="0667442D"/>
    <w:rsid w:val="06693D01"/>
    <w:rsid w:val="06763093"/>
    <w:rsid w:val="06952D48"/>
    <w:rsid w:val="06A0349B"/>
    <w:rsid w:val="071C7D5F"/>
    <w:rsid w:val="077A1F3E"/>
    <w:rsid w:val="077B0190"/>
    <w:rsid w:val="07846919"/>
    <w:rsid w:val="07910937"/>
    <w:rsid w:val="07C12195"/>
    <w:rsid w:val="07C17B6D"/>
    <w:rsid w:val="07CB4548"/>
    <w:rsid w:val="07E15B19"/>
    <w:rsid w:val="08033CE1"/>
    <w:rsid w:val="08200062"/>
    <w:rsid w:val="08482DD7"/>
    <w:rsid w:val="0858227F"/>
    <w:rsid w:val="0865356F"/>
    <w:rsid w:val="08843074"/>
    <w:rsid w:val="08984337"/>
    <w:rsid w:val="08D06595"/>
    <w:rsid w:val="08E458C1"/>
    <w:rsid w:val="09093579"/>
    <w:rsid w:val="091C6268"/>
    <w:rsid w:val="093A3733"/>
    <w:rsid w:val="095A210B"/>
    <w:rsid w:val="095F29E9"/>
    <w:rsid w:val="09D73678"/>
    <w:rsid w:val="0A03446D"/>
    <w:rsid w:val="0A397E8E"/>
    <w:rsid w:val="0A3D37B2"/>
    <w:rsid w:val="0A4B7B0B"/>
    <w:rsid w:val="0A854E82"/>
    <w:rsid w:val="0A8D28DC"/>
    <w:rsid w:val="0A9C441F"/>
    <w:rsid w:val="0AF7307E"/>
    <w:rsid w:val="0AFF6E07"/>
    <w:rsid w:val="0B136B3B"/>
    <w:rsid w:val="0B27035A"/>
    <w:rsid w:val="0B822939"/>
    <w:rsid w:val="0B9412A5"/>
    <w:rsid w:val="0BBC4FD3"/>
    <w:rsid w:val="0BC3359D"/>
    <w:rsid w:val="0BF422BF"/>
    <w:rsid w:val="0C0D7C93"/>
    <w:rsid w:val="0C152235"/>
    <w:rsid w:val="0C5745FC"/>
    <w:rsid w:val="0C7E67A8"/>
    <w:rsid w:val="0C8C24F7"/>
    <w:rsid w:val="0CA6220D"/>
    <w:rsid w:val="0CC425E4"/>
    <w:rsid w:val="0D062A3C"/>
    <w:rsid w:val="0D156991"/>
    <w:rsid w:val="0D7F3BC3"/>
    <w:rsid w:val="0D7F4286"/>
    <w:rsid w:val="0D8013DA"/>
    <w:rsid w:val="0D8C5246"/>
    <w:rsid w:val="0D9553DC"/>
    <w:rsid w:val="0DAB772E"/>
    <w:rsid w:val="0DC42165"/>
    <w:rsid w:val="0DCE6B40"/>
    <w:rsid w:val="0DD157AC"/>
    <w:rsid w:val="0E0B5258"/>
    <w:rsid w:val="0E364E11"/>
    <w:rsid w:val="0E3B528C"/>
    <w:rsid w:val="0EAE5391"/>
    <w:rsid w:val="0EBB3568"/>
    <w:rsid w:val="0EC35F79"/>
    <w:rsid w:val="0EDD528C"/>
    <w:rsid w:val="0EDF525B"/>
    <w:rsid w:val="0EF80318"/>
    <w:rsid w:val="0F87169C"/>
    <w:rsid w:val="0F962E89"/>
    <w:rsid w:val="0FB21044"/>
    <w:rsid w:val="0FB40A88"/>
    <w:rsid w:val="0FBC7598"/>
    <w:rsid w:val="0FEE7B6E"/>
    <w:rsid w:val="101B6BB3"/>
    <w:rsid w:val="10205488"/>
    <w:rsid w:val="10514F1F"/>
    <w:rsid w:val="108B0D18"/>
    <w:rsid w:val="10FD7E68"/>
    <w:rsid w:val="11207761"/>
    <w:rsid w:val="115D4434"/>
    <w:rsid w:val="115D46FB"/>
    <w:rsid w:val="116D508C"/>
    <w:rsid w:val="11A8799F"/>
    <w:rsid w:val="11DF3DD6"/>
    <w:rsid w:val="11EE155E"/>
    <w:rsid w:val="1202500A"/>
    <w:rsid w:val="12043B0C"/>
    <w:rsid w:val="12154B64"/>
    <w:rsid w:val="1226519C"/>
    <w:rsid w:val="12557365"/>
    <w:rsid w:val="127001C5"/>
    <w:rsid w:val="129A79D0"/>
    <w:rsid w:val="12A91154"/>
    <w:rsid w:val="12B5207C"/>
    <w:rsid w:val="12BA45DB"/>
    <w:rsid w:val="12CC7AF2"/>
    <w:rsid w:val="12FE7961"/>
    <w:rsid w:val="130D66C8"/>
    <w:rsid w:val="1323348A"/>
    <w:rsid w:val="132A2A6A"/>
    <w:rsid w:val="137B32C6"/>
    <w:rsid w:val="139822B4"/>
    <w:rsid w:val="13E0137B"/>
    <w:rsid w:val="13E175CD"/>
    <w:rsid w:val="14137A7D"/>
    <w:rsid w:val="145854BE"/>
    <w:rsid w:val="14BC5944"/>
    <w:rsid w:val="14BD1E65"/>
    <w:rsid w:val="15095FBD"/>
    <w:rsid w:val="15602773"/>
    <w:rsid w:val="15603DFF"/>
    <w:rsid w:val="15655FDB"/>
    <w:rsid w:val="15915971"/>
    <w:rsid w:val="15A41023"/>
    <w:rsid w:val="15BC4715"/>
    <w:rsid w:val="15E056A4"/>
    <w:rsid w:val="161812A0"/>
    <w:rsid w:val="1642631D"/>
    <w:rsid w:val="16895F09"/>
    <w:rsid w:val="16BF34C9"/>
    <w:rsid w:val="16CC6891"/>
    <w:rsid w:val="16E4796A"/>
    <w:rsid w:val="16EE2A22"/>
    <w:rsid w:val="16FFF706"/>
    <w:rsid w:val="170F5F96"/>
    <w:rsid w:val="172A480E"/>
    <w:rsid w:val="173A06D4"/>
    <w:rsid w:val="175061D7"/>
    <w:rsid w:val="177C760C"/>
    <w:rsid w:val="17975CBF"/>
    <w:rsid w:val="17DA09B8"/>
    <w:rsid w:val="17FA3269"/>
    <w:rsid w:val="181F06C4"/>
    <w:rsid w:val="18544FDE"/>
    <w:rsid w:val="18AF6AA0"/>
    <w:rsid w:val="19030013"/>
    <w:rsid w:val="191C10A7"/>
    <w:rsid w:val="1934019F"/>
    <w:rsid w:val="193C2646"/>
    <w:rsid w:val="196B55AF"/>
    <w:rsid w:val="196D36B1"/>
    <w:rsid w:val="19C10B6F"/>
    <w:rsid w:val="19C77265"/>
    <w:rsid w:val="19D93A39"/>
    <w:rsid w:val="1A115AEE"/>
    <w:rsid w:val="1A2D6611"/>
    <w:rsid w:val="1A2E4BEE"/>
    <w:rsid w:val="1A8B7DB2"/>
    <w:rsid w:val="1ABD2416"/>
    <w:rsid w:val="1AF30C6E"/>
    <w:rsid w:val="1B26620D"/>
    <w:rsid w:val="1B590209"/>
    <w:rsid w:val="1B8A518D"/>
    <w:rsid w:val="1BAD5FE6"/>
    <w:rsid w:val="1BE02A73"/>
    <w:rsid w:val="1BF7D39B"/>
    <w:rsid w:val="1BFA2E0E"/>
    <w:rsid w:val="1C170489"/>
    <w:rsid w:val="1C2C33AF"/>
    <w:rsid w:val="1C4A7CD9"/>
    <w:rsid w:val="1C5F637C"/>
    <w:rsid w:val="1C6E6DD4"/>
    <w:rsid w:val="1C775D0B"/>
    <w:rsid w:val="1C830DD7"/>
    <w:rsid w:val="1C8C20A0"/>
    <w:rsid w:val="1CA0088A"/>
    <w:rsid w:val="1CC47A8B"/>
    <w:rsid w:val="1CC547B8"/>
    <w:rsid w:val="1CC7757C"/>
    <w:rsid w:val="1CCE4466"/>
    <w:rsid w:val="1CD65EBF"/>
    <w:rsid w:val="1D0916D7"/>
    <w:rsid w:val="1D0B7468"/>
    <w:rsid w:val="1D430BC5"/>
    <w:rsid w:val="1D48246B"/>
    <w:rsid w:val="1D5030CD"/>
    <w:rsid w:val="1D94745E"/>
    <w:rsid w:val="1DD527F3"/>
    <w:rsid w:val="1DD7013E"/>
    <w:rsid w:val="1DEB181E"/>
    <w:rsid w:val="1E2350A1"/>
    <w:rsid w:val="1E334EC9"/>
    <w:rsid w:val="1E633692"/>
    <w:rsid w:val="1E894AE9"/>
    <w:rsid w:val="1EF6443C"/>
    <w:rsid w:val="1F220A99"/>
    <w:rsid w:val="1F5F2643"/>
    <w:rsid w:val="1F6C0849"/>
    <w:rsid w:val="1F8277B7"/>
    <w:rsid w:val="1F9F552A"/>
    <w:rsid w:val="1FBC2869"/>
    <w:rsid w:val="1FC61D6D"/>
    <w:rsid w:val="1FCF0DC4"/>
    <w:rsid w:val="1FDA1374"/>
    <w:rsid w:val="1FFF2E23"/>
    <w:rsid w:val="200B777F"/>
    <w:rsid w:val="206C021E"/>
    <w:rsid w:val="207812B9"/>
    <w:rsid w:val="207D067D"/>
    <w:rsid w:val="209E23A2"/>
    <w:rsid w:val="20A43E5C"/>
    <w:rsid w:val="20CC4345"/>
    <w:rsid w:val="20E51C8A"/>
    <w:rsid w:val="20E94141"/>
    <w:rsid w:val="21154D5A"/>
    <w:rsid w:val="211663DC"/>
    <w:rsid w:val="215F7D83"/>
    <w:rsid w:val="21B7430B"/>
    <w:rsid w:val="21D97B35"/>
    <w:rsid w:val="21E85FCA"/>
    <w:rsid w:val="220758DE"/>
    <w:rsid w:val="220B68A7"/>
    <w:rsid w:val="22155F7C"/>
    <w:rsid w:val="22196184"/>
    <w:rsid w:val="22253165"/>
    <w:rsid w:val="222D1C2F"/>
    <w:rsid w:val="22572C7B"/>
    <w:rsid w:val="22695222"/>
    <w:rsid w:val="226A2E83"/>
    <w:rsid w:val="22847298"/>
    <w:rsid w:val="22B91715"/>
    <w:rsid w:val="22F56BF1"/>
    <w:rsid w:val="2301793A"/>
    <w:rsid w:val="23706277"/>
    <w:rsid w:val="23B03E52"/>
    <w:rsid w:val="23EA7CFA"/>
    <w:rsid w:val="245C67FB"/>
    <w:rsid w:val="24976625"/>
    <w:rsid w:val="24CF521F"/>
    <w:rsid w:val="25501C64"/>
    <w:rsid w:val="25545725"/>
    <w:rsid w:val="25C9278E"/>
    <w:rsid w:val="26123616"/>
    <w:rsid w:val="265579A6"/>
    <w:rsid w:val="267B25B1"/>
    <w:rsid w:val="267E6995"/>
    <w:rsid w:val="26D35EC6"/>
    <w:rsid w:val="26D72987"/>
    <w:rsid w:val="27111A08"/>
    <w:rsid w:val="27363DD8"/>
    <w:rsid w:val="273A4210"/>
    <w:rsid w:val="27897907"/>
    <w:rsid w:val="27B23302"/>
    <w:rsid w:val="27B859FB"/>
    <w:rsid w:val="27C135C1"/>
    <w:rsid w:val="28135D30"/>
    <w:rsid w:val="28277120"/>
    <w:rsid w:val="282F1ED9"/>
    <w:rsid w:val="28652973"/>
    <w:rsid w:val="286C0235"/>
    <w:rsid w:val="287A4A14"/>
    <w:rsid w:val="28942A08"/>
    <w:rsid w:val="289C7B0E"/>
    <w:rsid w:val="28D42E04"/>
    <w:rsid w:val="28DC43AF"/>
    <w:rsid w:val="28F45CA3"/>
    <w:rsid w:val="291943EE"/>
    <w:rsid w:val="29310257"/>
    <w:rsid w:val="29322803"/>
    <w:rsid w:val="29471828"/>
    <w:rsid w:val="29AB625B"/>
    <w:rsid w:val="29BD1AEA"/>
    <w:rsid w:val="29DF4157"/>
    <w:rsid w:val="2A7D127A"/>
    <w:rsid w:val="2ACD39F9"/>
    <w:rsid w:val="2AE706A9"/>
    <w:rsid w:val="2AEA2DB3"/>
    <w:rsid w:val="2B033857"/>
    <w:rsid w:val="2B12230A"/>
    <w:rsid w:val="2B1E2A5D"/>
    <w:rsid w:val="2B3478AE"/>
    <w:rsid w:val="2B365FF8"/>
    <w:rsid w:val="2B6B0DD2"/>
    <w:rsid w:val="2B8E7BE2"/>
    <w:rsid w:val="2BDC08F6"/>
    <w:rsid w:val="2BFF63EA"/>
    <w:rsid w:val="2C236286"/>
    <w:rsid w:val="2C26606D"/>
    <w:rsid w:val="2C273B93"/>
    <w:rsid w:val="2C2C256D"/>
    <w:rsid w:val="2C70553A"/>
    <w:rsid w:val="2C752B50"/>
    <w:rsid w:val="2CB43679"/>
    <w:rsid w:val="2D197980"/>
    <w:rsid w:val="2D6942AF"/>
    <w:rsid w:val="2D7A6964"/>
    <w:rsid w:val="2E3B56D4"/>
    <w:rsid w:val="2E3F51C4"/>
    <w:rsid w:val="2E552C39"/>
    <w:rsid w:val="2E6A6BF6"/>
    <w:rsid w:val="2E93490B"/>
    <w:rsid w:val="2EAD79BC"/>
    <w:rsid w:val="2EC7724C"/>
    <w:rsid w:val="2EDC1965"/>
    <w:rsid w:val="2EEB534C"/>
    <w:rsid w:val="2F0F12EC"/>
    <w:rsid w:val="2F4B7E26"/>
    <w:rsid w:val="2F4F287C"/>
    <w:rsid w:val="2F634EE2"/>
    <w:rsid w:val="2F756454"/>
    <w:rsid w:val="2F824B0D"/>
    <w:rsid w:val="2F9B0B20"/>
    <w:rsid w:val="2FA06136"/>
    <w:rsid w:val="2FE25961"/>
    <w:rsid w:val="300F506A"/>
    <w:rsid w:val="302208F9"/>
    <w:rsid w:val="30253D18"/>
    <w:rsid w:val="30395C43"/>
    <w:rsid w:val="3082583C"/>
    <w:rsid w:val="3091013E"/>
    <w:rsid w:val="30A209D3"/>
    <w:rsid w:val="30CB23C7"/>
    <w:rsid w:val="30F5600E"/>
    <w:rsid w:val="310149B3"/>
    <w:rsid w:val="31104BF6"/>
    <w:rsid w:val="313D5BE2"/>
    <w:rsid w:val="31671525"/>
    <w:rsid w:val="317038E6"/>
    <w:rsid w:val="31D51AF4"/>
    <w:rsid w:val="31E42E75"/>
    <w:rsid w:val="31F46964"/>
    <w:rsid w:val="32184039"/>
    <w:rsid w:val="323B2146"/>
    <w:rsid w:val="32C17E4B"/>
    <w:rsid w:val="32C24E04"/>
    <w:rsid w:val="32D3412D"/>
    <w:rsid w:val="32F3657D"/>
    <w:rsid w:val="32FF29BC"/>
    <w:rsid w:val="333809DF"/>
    <w:rsid w:val="33564484"/>
    <w:rsid w:val="335D56D8"/>
    <w:rsid w:val="335D7410"/>
    <w:rsid w:val="3377EA13"/>
    <w:rsid w:val="33D559F4"/>
    <w:rsid w:val="34012F1B"/>
    <w:rsid w:val="343B2764"/>
    <w:rsid w:val="34A35960"/>
    <w:rsid w:val="34C06223"/>
    <w:rsid w:val="34C208FD"/>
    <w:rsid w:val="3515299A"/>
    <w:rsid w:val="35492DCC"/>
    <w:rsid w:val="358362DE"/>
    <w:rsid w:val="35C81F43"/>
    <w:rsid w:val="35DD6B0D"/>
    <w:rsid w:val="36264B9A"/>
    <w:rsid w:val="36703DC4"/>
    <w:rsid w:val="36745C27"/>
    <w:rsid w:val="367F4CF7"/>
    <w:rsid w:val="36882FB2"/>
    <w:rsid w:val="36A965A3"/>
    <w:rsid w:val="36CE2592"/>
    <w:rsid w:val="3700570C"/>
    <w:rsid w:val="37070849"/>
    <w:rsid w:val="37113475"/>
    <w:rsid w:val="37217B5C"/>
    <w:rsid w:val="37256F21"/>
    <w:rsid w:val="37993671"/>
    <w:rsid w:val="37AE5168"/>
    <w:rsid w:val="37B06B2D"/>
    <w:rsid w:val="37CD55EE"/>
    <w:rsid w:val="37EA34C5"/>
    <w:rsid w:val="380510BA"/>
    <w:rsid w:val="38140EC9"/>
    <w:rsid w:val="3846199E"/>
    <w:rsid w:val="38767A34"/>
    <w:rsid w:val="38796700"/>
    <w:rsid w:val="38A327F3"/>
    <w:rsid w:val="38C05E29"/>
    <w:rsid w:val="38ED7091"/>
    <w:rsid w:val="39091AA1"/>
    <w:rsid w:val="39264651"/>
    <w:rsid w:val="392751D2"/>
    <w:rsid w:val="392A6A70"/>
    <w:rsid w:val="39377849"/>
    <w:rsid w:val="399F5886"/>
    <w:rsid w:val="39D001E5"/>
    <w:rsid w:val="39DF0812"/>
    <w:rsid w:val="3A064DE8"/>
    <w:rsid w:val="3A141BDE"/>
    <w:rsid w:val="3AB62319"/>
    <w:rsid w:val="3ABE78DE"/>
    <w:rsid w:val="3AC6750B"/>
    <w:rsid w:val="3ADF3520"/>
    <w:rsid w:val="3AF7374E"/>
    <w:rsid w:val="3B5C3046"/>
    <w:rsid w:val="3B9117A2"/>
    <w:rsid w:val="3B9C7FF4"/>
    <w:rsid w:val="3BCC3E0F"/>
    <w:rsid w:val="3BF82E56"/>
    <w:rsid w:val="3C196CF1"/>
    <w:rsid w:val="3C3814A4"/>
    <w:rsid w:val="3C6A465C"/>
    <w:rsid w:val="3C826F4F"/>
    <w:rsid w:val="3C9842A9"/>
    <w:rsid w:val="3CED4D16"/>
    <w:rsid w:val="3CEFB937"/>
    <w:rsid w:val="3D441D9E"/>
    <w:rsid w:val="3D5B375E"/>
    <w:rsid w:val="3D5F6A55"/>
    <w:rsid w:val="3D6F736D"/>
    <w:rsid w:val="3D7604D6"/>
    <w:rsid w:val="3D7628C1"/>
    <w:rsid w:val="3D7F428A"/>
    <w:rsid w:val="3D864BBD"/>
    <w:rsid w:val="3D8B2DEE"/>
    <w:rsid w:val="3D995F73"/>
    <w:rsid w:val="3DA908AC"/>
    <w:rsid w:val="3DBB765C"/>
    <w:rsid w:val="3E4F1453"/>
    <w:rsid w:val="3E4F43AB"/>
    <w:rsid w:val="3E52684D"/>
    <w:rsid w:val="3E9600A2"/>
    <w:rsid w:val="3EA64DEB"/>
    <w:rsid w:val="3EB15879"/>
    <w:rsid w:val="3EB5502E"/>
    <w:rsid w:val="3EB556A0"/>
    <w:rsid w:val="3EC40239"/>
    <w:rsid w:val="3ECC295E"/>
    <w:rsid w:val="3F481FAF"/>
    <w:rsid w:val="3F870779"/>
    <w:rsid w:val="3F92160C"/>
    <w:rsid w:val="3F9966FE"/>
    <w:rsid w:val="3FAF5FAC"/>
    <w:rsid w:val="3FD5040E"/>
    <w:rsid w:val="3FFE21B8"/>
    <w:rsid w:val="40082247"/>
    <w:rsid w:val="40093884"/>
    <w:rsid w:val="40451349"/>
    <w:rsid w:val="40480563"/>
    <w:rsid w:val="40730CFD"/>
    <w:rsid w:val="409E221E"/>
    <w:rsid w:val="40AF442B"/>
    <w:rsid w:val="40B4157F"/>
    <w:rsid w:val="41111AE2"/>
    <w:rsid w:val="412C782A"/>
    <w:rsid w:val="416D399E"/>
    <w:rsid w:val="41834C13"/>
    <w:rsid w:val="419D24D5"/>
    <w:rsid w:val="41A03D74"/>
    <w:rsid w:val="41BD2B78"/>
    <w:rsid w:val="41E9396D"/>
    <w:rsid w:val="41F540C0"/>
    <w:rsid w:val="42313178"/>
    <w:rsid w:val="426C3C56"/>
    <w:rsid w:val="429F402B"/>
    <w:rsid w:val="429F7022"/>
    <w:rsid w:val="42A275E5"/>
    <w:rsid w:val="42F60B8F"/>
    <w:rsid w:val="430B16C1"/>
    <w:rsid w:val="432D5ADB"/>
    <w:rsid w:val="434D1CD9"/>
    <w:rsid w:val="43875B35"/>
    <w:rsid w:val="438D657A"/>
    <w:rsid w:val="43B55CF6"/>
    <w:rsid w:val="43D07C95"/>
    <w:rsid w:val="43D83C99"/>
    <w:rsid w:val="44231564"/>
    <w:rsid w:val="44380293"/>
    <w:rsid w:val="44415ED3"/>
    <w:rsid w:val="44437E74"/>
    <w:rsid w:val="44466E54"/>
    <w:rsid w:val="444E229E"/>
    <w:rsid w:val="44775DE2"/>
    <w:rsid w:val="44835245"/>
    <w:rsid w:val="44920869"/>
    <w:rsid w:val="44935725"/>
    <w:rsid w:val="449E5C4D"/>
    <w:rsid w:val="44BF6C07"/>
    <w:rsid w:val="44F22B38"/>
    <w:rsid w:val="453579B5"/>
    <w:rsid w:val="454A538F"/>
    <w:rsid w:val="45C142B9"/>
    <w:rsid w:val="462734A8"/>
    <w:rsid w:val="4654337F"/>
    <w:rsid w:val="468C2B19"/>
    <w:rsid w:val="46B55F0F"/>
    <w:rsid w:val="46C93D6D"/>
    <w:rsid w:val="46D83AC9"/>
    <w:rsid w:val="472678FE"/>
    <w:rsid w:val="475C24EB"/>
    <w:rsid w:val="477A6E15"/>
    <w:rsid w:val="47DD756D"/>
    <w:rsid w:val="47FF1A67"/>
    <w:rsid w:val="4809242C"/>
    <w:rsid w:val="482254E2"/>
    <w:rsid w:val="488A12DA"/>
    <w:rsid w:val="48D26869"/>
    <w:rsid w:val="48F45D16"/>
    <w:rsid w:val="48FA6DE1"/>
    <w:rsid w:val="490247F1"/>
    <w:rsid w:val="49064943"/>
    <w:rsid w:val="491B51E4"/>
    <w:rsid w:val="496C16FA"/>
    <w:rsid w:val="498B355B"/>
    <w:rsid w:val="49A90BB9"/>
    <w:rsid w:val="49D340A2"/>
    <w:rsid w:val="4A4A769D"/>
    <w:rsid w:val="4A791606"/>
    <w:rsid w:val="4A993A56"/>
    <w:rsid w:val="4AAE347D"/>
    <w:rsid w:val="4AF60EA8"/>
    <w:rsid w:val="4B0434FF"/>
    <w:rsid w:val="4B0C1BF2"/>
    <w:rsid w:val="4B102409"/>
    <w:rsid w:val="4B2A5B41"/>
    <w:rsid w:val="4B490FD8"/>
    <w:rsid w:val="4B596751"/>
    <w:rsid w:val="4B7079F0"/>
    <w:rsid w:val="4B7A5635"/>
    <w:rsid w:val="4B8464B4"/>
    <w:rsid w:val="4BA67F9B"/>
    <w:rsid w:val="4BD67412"/>
    <w:rsid w:val="4BE40D01"/>
    <w:rsid w:val="4BE66A8D"/>
    <w:rsid w:val="4C027573"/>
    <w:rsid w:val="4C0575F5"/>
    <w:rsid w:val="4C2061DD"/>
    <w:rsid w:val="4C2F6420"/>
    <w:rsid w:val="4C673E0C"/>
    <w:rsid w:val="4C742085"/>
    <w:rsid w:val="4CDC4A77"/>
    <w:rsid w:val="4D183358"/>
    <w:rsid w:val="4D4D27CD"/>
    <w:rsid w:val="4D8207D1"/>
    <w:rsid w:val="4D897DB2"/>
    <w:rsid w:val="4DB36BDD"/>
    <w:rsid w:val="4DBA440F"/>
    <w:rsid w:val="4E1526DE"/>
    <w:rsid w:val="4E2B760F"/>
    <w:rsid w:val="4E4702DE"/>
    <w:rsid w:val="4E5D3762"/>
    <w:rsid w:val="4E6AF71E"/>
    <w:rsid w:val="4E8602B0"/>
    <w:rsid w:val="4E910DA4"/>
    <w:rsid w:val="4EDD07DB"/>
    <w:rsid w:val="4EDE7AF4"/>
    <w:rsid w:val="4EFB424F"/>
    <w:rsid w:val="4EFB714D"/>
    <w:rsid w:val="4F0A4F22"/>
    <w:rsid w:val="4F1418FD"/>
    <w:rsid w:val="4F1C2E7C"/>
    <w:rsid w:val="4F465F82"/>
    <w:rsid w:val="4F510073"/>
    <w:rsid w:val="4F5662E2"/>
    <w:rsid w:val="4F5733FF"/>
    <w:rsid w:val="4F6A45FA"/>
    <w:rsid w:val="4FA669F9"/>
    <w:rsid w:val="4FAF2476"/>
    <w:rsid w:val="4FC357FD"/>
    <w:rsid w:val="4FCC21D8"/>
    <w:rsid w:val="500D0826"/>
    <w:rsid w:val="504B68C8"/>
    <w:rsid w:val="50915303"/>
    <w:rsid w:val="509F58CF"/>
    <w:rsid w:val="50A75261"/>
    <w:rsid w:val="50DD469C"/>
    <w:rsid w:val="50DF0671"/>
    <w:rsid w:val="51146BEA"/>
    <w:rsid w:val="517E5191"/>
    <w:rsid w:val="518B234A"/>
    <w:rsid w:val="51AE428B"/>
    <w:rsid w:val="51B64EEE"/>
    <w:rsid w:val="51D62625"/>
    <w:rsid w:val="52632769"/>
    <w:rsid w:val="52A511EA"/>
    <w:rsid w:val="52B94123"/>
    <w:rsid w:val="52BDE106"/>
    <w:rsid w:val="52DA35C6"/>
    <w:rsid w:val="52F0523E"/>
    <w:rsid w:val="52F91AE9"/>
    <w:rsid w:val="530C5752"/>
    <w:rsid w:val="534A3B3F"/>
    <w:rsid w:val="53620E89"/>
    <w:rsid w:val="53807561"/>
    <w:rsid w:val="5382152B"/>
    <w:rsid w:val="539E5689"/>
    <w:rsid w:val="541E62A3"/>
    <w:rsid w:val="545407CF"/>
    <w:rsid w:val="546A07E8"/>
    <w:rsid w:val="547042EC"/>
    <w:rsid w:val="54705828"/>
    <w:rsid w:val="5488491F"/>
    <w:rsid w:val="54977258"/>
    <w:rsid w:val="54FE4BE1"/>
    <w:rsid w:val="55000754"/>
    <w:rsid w:val="553947DF"/>
    <w:rsid w:val="553F4386"/>
    <w:rsid w:val="55AD491E"/>
    <w:rsid w:val="55C0458D"/>
    <w:rsid w:val="55F5618B"/>
    <w:rsid w:val="55F94C98"/>
    <w:rsid w:val="55FA184D"/>
    <w:rsid w:val="562114AF"/>
    <w:rsid w:val="5621502B"/>
    <w:rsid w:val="562453FA"/>
    <w:rsid w:val="565D002E"/>
    <w:rsid w:val="56694C24"/>
    <w:rsid w:val="566F134E"/>
    <w:rsid w:val="568F71F7"/>
    <w:rsid w:val="569D0B1A"/>
    <w:rsid w:val="56CA5FF0"/>
    <w:rsid w:val="56D92E6A"/>
    <w:rsid w:val="575827BC"/>
    <w:rsid w:val="577473DD"/>
    <w:rsid w:val="57DB745C"/>
    <w:rsid w:val="57E02CC4"/>
    <w:rsid w:val="57EE28CF"/>
    <w:rsid w:val="57F5DAF9"/>
    <w:rsid w:val="57FBD460"/>
    <w:rsid w:val="584C2108"/>
    <w:rsid w:val="585C67EF"/>
    <w:rsid w:val="58705065"/>
    <w:rsid w:val="58801B99"/>
    <w:rsid w:val="58847AF3"/>
    <w:rsid w:val="58E71902"/>
    <w:rsid w:val="594554D5"/>
    <w:rsid w:val="599302F8"/>
    <w:rsid w:val="59976026"/>
    <w:rsid w:val="59B8D3DE"/>
    <w:rsid w:val="59C22B36"/>
    <w:rsid w:val="59FC74C1"/>
    <w:rsid w:val="5A2430AC"/>
    <w:rsid w:val="5A762D88"/>
    <w:rsid w:val="5A8262B5"/>
    <w:rsid w:val="5AC0011D"/>
    <w:rsid w:val="5ACB7C5C"/>
    <w:rsid w:val="5ADA7E9F"/>
    <w:rsid w:val="5ADF451F"/>
    <w:rsid w:val="5ADF54B5"/>
    <w:rsid w:val="5B21787C"/>
    <w:rsid w:val="5B5A04A5"/>
    <w:rsid w:val="5B5D58F8"/>
    <w:rsid w:val="5B6F0312"/>
    <w:rsid w:val="5B721E85"/>
    <w:rsid w:val="5B81656C"/>
    <w:rsid w:val="5BD3732F"/>
    <w:rsid w:val="5BE11D94"/>
    <w:rsid w:val="5C010FF6"/>
    <w:rsid w:val="5C7D31D8"/>
    <w:rsid w:val="5C9B1B86"/>
    <w:rsid w:val="5CA00C74"/>
    <w:rsid w:val="5CA644DC"/>
    <w:rsid w:val="5CA73892"/>
    <w:rsid w:val="5CDC7E28"/>
    <w:rsid w:val="5CFB23C4"/>
    <w:rsid w:val="5CFB6E19"/>
    <w:rsid w:val="5D5C1735"/>
    <w:rsid w:val="5D79399F"/>
    <w:rsid w:val="5D7E2F74"/>
    <w:rsid w:val="5D8B7388"/>
    <w:rsid w:val="5D9E14AD"/>
    <w:rsid w:val="5E03770C"/>
    <w:rsid w:val="5E1E3300"/>
    <w:rsid w:val="5E4F2952"/>
    <w:rsid w:val="5E532442"/>
    <w:rsid w:val="5E581806"/>
    <w:rsid w:val="5E5D506F"/>
    <w:rsid w:val="5E652175"/>
    <w:rsid w:val="5E7F3237"/>
    <w:rsid w:val="5E9465B6"/>
    <w:rsid w:val="5EB6FF36"/>
    <w:rsid w:val="5ED25E09"/>
    <w:rsid w:val="5ED91378"/>
    <w:rsid w:val="5EDA66BF"/>
    <w:rsid w:val="5EE742EC"/>
    <w:rsid w:val="5F3538F6"/>
    <w:rsid w:val="5F3D3AC8"/>
    <w:rsid w:val="5F76A59B"/>
    <w:rsid w:val="5F7B6275"/>
    <w:rsid w:val="5F7F9E32"/>
    <w:rsid w:val="5F950838"/>
    <w:rsid w:val="5F9D3CD4"/>
    <w:rsid w:val="5F9D5F93"/>
    <w:rsid w:val="5F9F5A01"/>
    <w:rsid w:val="5FA665A1"/>
    <w:rsid w:val="5FB92779"/>
    <w:rsid w:val="5FCB483B"/>
    <w:rsid w:val="5FE27724"/>
    <w:rsid w:val="5FE99BCB"/>
    <w:rsid w:val="5FFB59B1"/>
    <w:rsid w:val="602472A5"/>
    <w:rsid w:val="603E0913"/>
    <w:rsid w:val="60555717"/>
    <w:rsid w:val="606D19C1"/>
    <w:rsid w:val="60B151FE"/>
    <w:rsid w:val="60B850C8"/>
    <w:rsid w:val="60FB46CB"/>
    <w:rsid w:val="61007F33"/>
    <w:rsid w:val="61131F9A"/>
    <w:rsid w:val="6129614D"/>
    <w:rsid w:val="61461DEA"/>
    <w:rsid w:val="617F3ED8"/>
    <w:rsid w:val="61987155"/>
    <w:rsid w:val="61A42425"/>
    <w:rsid w:val="61A926F2"/>
    <w:rsid w:val="61B64C3C"/>
    <w:rsid w:val="61B72CE8"/>
    <w:rsid w:val="61B84CCE"/>
    <w:rsid w:val="61B96A60"/>
    <w:rsid w:val="61CB0541"/>
    <w:rsid w:val="61D953AA"/>
    <w:rsid w:val="61E12E07"/>
    <w:rsid w:val="61E57855"/>
    <w:rsid w:val="61F0653B"/>
    <w:rsid w:val="621A250E"/>
    <w:rsid w:val="623B7B80"/>
    <w:rsid w:val="625422E5"/>
    <w:rsid w:val="62755297"/>
    <w:rsid w:val="628B722D"/>
    <w:rsid w:val="628E1C9B"/>
    <w:rsid w:val="62A32CCC"/>
    <w:rsid w:val="62AB302E"/>
    <w:rsid w:val="62BF00A6"/>
    <w:rsid w:val="62C84A81"/>
    <w:rsid w:val="62EE098B"/>
    <w:rsid w:val="63052399"/>
    <w:rsid w:val="6368284B"/>
    <w:rsid w:val="63696264"/>
    <w:rsid w:val="63850294"/>
    <w:rsid w:val="63A948B2"/>
    <w:rsid w:val="63BF4DF5"/>
    <w:rsid w:val="63F63529"/>
    <w:rsid w:val="644545DB"/>
    <w:rsid w:val="64A2280B"/>
    <w:rsid w:val="64C574CA"/>
    <w:rsid w:val="64FC6CB9"/>
    <w:rsid w:val="65167D25"/>
    <w:rsid w:val="65484822"/>
    <w:rsid w:val="658320F0"/>
    <w:rsid w:val="65F54AB7"/>
    <w:rsid w:val="6630667E"/>
    <w:rsid w:val="66394CC9"/>
    <w:rsid w:val="66936C78"/>
    <w:rsid w:val="66980342"/>
    <w:rsid w:val="66BC2B4E"/>
    <w:rsid w:val="66CB134D"/>
    <w:rsid w:val="66CC190A"/>
    <w:rsid w:val="66DF1C1B"/>
    <w:rsid w:val="66E06C8B"/>
    <w:rsid w:val="66EC6561"/>
    <w:rsid w:val="66ED7A33"/>
    <w:rsid w:val="66F60184"/>
    <w:rsid w:val="670F0ED0"/>
    <w:rsid w:val="672D1356"/>
    <w:rsid w:val="67670D0C"/>
    <w:rsid w:val="67713939"/>
    <w:rsid w:val="67C737D2"/>
    <w:rsid w:val="682F784C"/>
    <w:rsid w:val="6841330B"/>
    <w:rsid w:val="684619C5"/>
    <w:rsid w:val="684B3D31"/>
    <w:rsid w:val="685A261F"/>
    <w:rsid w:val="686314D3"/>
    <w:rsid w:val="687D6A00"/>
    <w:rsid w:val="6888718C"/>
    <w:rsid w:val="688B0A2A"/>
    <w:rsid w:val="68A8194B"/>
    <w:rsid w:val="68AF64C7"/>
    <w:rsid w:val="68B27D65"/>
    <w:rsid w:val="68C63810"/>
    <w:rsid w:val="68F70501"/>
    <w:rsid w:val="694330B3"/>
    <w:rsid w:val="69642D89"/>
    <w:rsid w:val="696D1EDE"/>
    <w:rsid w:val="699102C2"/>
    <w:rsid w:val="69C53AC8"/>
    <w:rsid w:val="69C935B8"/>
    <w:rsid w:val="69CC6B7C"/>
    <w:rsid w:val="69CC7408"/>
    <w:rsid w:val="69F04FE9"/>
    <w:rsid w:val="6A1A2066"/>
    <w:rsid w:val="6A3142C9"/>
    <w:rsid w:val="6A9A5B6B"/>
    <w:rsid w:val="6A9B36AC"/>
    <w:rsid w:val="6A9C2A7B"/>
    <w:rsid w:val="6AA703B3"/>
    <w:rsid w:val="6AC16985"/>
    <w:rsid w:val="6ADA5212"/>
    <w:rsid w:val="6B036F9E"/>
    <w:rsid w:val="6B07083C"/>
    <w:rsid w:val="6B301415"/>
    <w:rsid w:val="6B356AE6"/>
    <w:rsid w:val="6B656A6D"/>
    <w:rsid w:val="6BA379B2"/>
    <w:rsid w:val="6BF608B1"/>
    <w:rsid w:val="6BFF72D7"/>
    <w:rsid w:val="6BFFB447"/>
    <w:rsid w:val="6C08444E"/>
    <w:rsid w:val="6C2C7E2E"/>
    <w:rsid w:val="6C3311BD"/>
    <w:rsid w:val="6C4D5033"/>
    <w:rsid w:val="6C4E48D0"/>
    <w:rsid w:val="6C4E6C53"/>
    <w:rsid w:val="6C5A1342"/>
    <w:rsid w:val="6C803E37"/>
    <w:rsid w:val="6C9C30BE"/>
    <w:rsid w:val="6CA47003"/>
    <w:rsid w:val="6CB340FA"/>
    <w:rsid w:val="6CEA20A3"/>
    <w:rsid w:val="6CF21078"/>
    <w:rsid w:val="6D1246FB"/>
    <w:rsid w:val="6D21108A"/>
    <w:rsid w:val="6D286848"/>
    <w:rsid w:val="6D464F20"/>
    <w:rsid w:val="6D68758C"/>
    <w:rsid w:val="6D745C1B"/>
    <w:rsid w:val="6D9714A7"/>
    <w:rsid w:val="6DB620A5"/>
    <w:rsid w:val="6DFE89C9"/>
    <w:rsid w:val="6E11700F"/>
    <w:rsid w:val="6E1F5E9D"/>
    <w:rsid w:val="6E3A2CD6"/>
    <w:rsid w:val="6E6C4E5A"/>
    <w:rsid w:val="6E8BE3D0"/>
    <w:rsid w:val="6EF5911B"/>
    <w:rsid w:val="6EF95D05"/>
    <w:rsid w:val="6F323B40"/>
    <w:rsid w:val="6F541B76"/>
    <w:rsid w:val="6F5C16FC"/>
    <w:rsid w:val="6F5F5403"/>
    <w:rsid w:val="6F77551E"/>
    <w:rsid w:val="6F966EFB"/>
    <w:rsid w:val="6F9F7969"/>
    <w:rsid w:val="6FC75525"/>
    <w:rsid w:val="6FCB2DE6"/>
    <w:rsid w:val="6FE6E60E"/>
    <w:rsid w:val="6FE70C3C"/>
    <w:rsid w:val="6FF8A05B"/>
    <w:rsid w:val="6FFB6962"/>
    <w:rsid w:val="705708DB"/>
    <w:rsid w:val="70736459"/>
    <w:rsid w:val="709656FC"/>
    <w:rsid w:val="70A64653"/>
    <w:rsid w:val="70AC1146"/>
    <w:rsid w:val="712447AC"/>
    <w:rsid w:val="71257C6E"/>
    <w:rsid w:val="712E2BB6"/>
    <w:rsid w:val="71A768D5"/>
    <w:rsid w:val="71B07FF4"/>
    <w:rsid w:val="71C01745"/>
    <w:rsid w:val="71D35F3A"/>
    <w:rsid w:val="721E646B"/>
    <w:rsid w:val="72212790"/>
    <w:rsid w:val="7229553C"/>
    <w:rsid w:val="726227FC"/>
    <w:rsid w:val="7272280B"/>
    <w:rsid w:val="72851A38"/>
    <w:rsid w:val="72B8241C"/>
    <w:rsid w:val="72C135F3"/>
    <w:rsid w:val="72E65574"/>
    <w:rsid w:val="72E9466C"/>
    <w:rsid w:val="72F33F62"/>
    <w:rsid w:val="735C730F"/>
    <w:rsid w:val="73600118"/>
    <w:rsid w:val="73644352"/>
    <w:rsid w:val="73AC64BF"/>
    <w:rsid w:val="73F751C6"/>
    <w:rsid w:val="73FBB908"/>
    <w:rsid w:val="73FF6831"/>
    <w:rsid w:val="74120B11"/>
    <w:rsid w:val="743E2DF5"/>
    <w:rsid w:val="74513CA5"/>
    <w:rsid w:val="749D375E"/>
    <w:rsid w:val="74B73C25"/>
    <w:rsid w:val="74FFF045"/>
    <w:rsid w:val="75592D80"/>
    <w:rsid w:val="759012A6"/>
    <w:rsid w:val="75AB2ED7"/>
    <w:rsid w:val="75C2C977"/>
    <w:rsid w:val="763F1C89"/>
    <w:rsid w:val="76461C2E"/>
    <w:rsid w:val="76A24550"/>
    <w:rsid w:val="76C57C6B"/>
    <w:rsid w:val="76CC62BF"/>
    <w:rsid w:val="76CD0D09"/>
    <w:rsid w:val="76F81981"/>
    <w:rsid w:val="772D0538"/>
    <w:rsid w:val="775841CD"/>
    <w:rsid w:val="777D1373"/>
    <w:rsid w:val="77846D70"/>
    <w:rsid w:val="77982D7C"/>
    <w:rsid w:val="779D3ACF"/>
    <w:rsid w:val="77AC6D08"/>
    <w:rsid w:val="77C81353"/>
    <w:rsid w:val="78397B5B"/>
    <w:rsid w:val="783C7AE9"/>
    <w:rsid w:val="786F7596"/>
    <w:rsid w:val="78CE3684"/>
    <w:rsid w:val="78D14239"/>
    <w:rsid w:val="78D62FC2"/>
    <w:rsid w:val="78DD156C"/>
    <w:rsid w:val="78E75809"/>
    <w:rsid w:val="79312349"/>
    <w:rsid w:val="79713E06"/>
    <w:rsid w:val="79A41DB2"/>
    <w:rsid w:val="79ED50A1"/>
    <w:rsid w:val="79ED6F0B"/>
    <w:rsid w:val="7A1A6384"/>
    <w:rsid w:val="7A3B22B0"/>
    <w:rsid w:val="7A592736"/>
    <w:rsid w:val="7A5F7CD8"/>
    <w:rsid w:val="7AAE0BF6"/>
    <w:rsid w:val="7ADE6B0C"/>
    <w:rsid w:val="7AFA3202"/>
    <w:rsid w:val="7B0D52CF"/>
    <w:rsid w:val="7B3D0C7B"/>
    <w:rsid w:val="7B3D7C92"/>
    <w:rsid w:val="7B430CF1"/>
    <w:rsid w:val="7B4C38D7"/>
    <w:rsid w:val="7B8F2C5C"/>
    <w:rsid w:val="7B9003DA"/>
    <w:rsid w:val="7BA43B4F"/>
    <w:rsid w:val="7BAE260E"/>
    <w:rsid w:val="7BB34F3B"/>
    <w:rsid w:val="7BCC76A8"/>
    <w:rsid w:val="7BCD320B"/>
    <w:rsid w:val="7BCFFFA8"/>
    <w:rsid w:val="7BF72207"/>
    <w:rsid w:val="7BF7FE36"/>
    <w:rsid w:val="7C0A4F8F"/>
    <w:rsid w:val="7C0D68ED"/>
    <w:rsid w:val="7C122B9D"/>
    <w:rsid w:val="7C181978"/>
    <w:rsid w:val="7C481A33"/>
    <w:rsid w:val="7C591715"/>
    <w:rsid w:val="7C5A3C92"/>
    <w:rsid w:val="7C701FB9"/>
    <w:rsid w:val="7CCE5050"/>
    <w:rsid w:val="7CD267D0"/>
    <w:rsid w:val="7CE318B6"/>
    <w:rsid w:val="7CF55CBC"/>
    <w:rsid w:val="7D20704E"/>
    <w:rsid w:val="7D29400A"/>
    <w:rsid w:val="7D344D95"/>
    <w:rsid w:val="7D5FA42E"/>
    <w:rsid w:val="7D745926"/>
    <w:rsid w:val="7D836F10"/>
    <w:rsid w:val="7D9D0B8C"/>
    <w:rsid w:val="7DBA4CD5"/>
    <w:rsid w:val="7DBA7990"/>
    <w:rsid w:val="7DEF6CEA"/>
    <w:rsid w:val="7DEF6E0C"/>
    <w:rsid w:val="7DF47873"/>
    <w:rsid w:val="7DF80E09"/>
    <w:rsid w:val="7E325778"/>
    <w:rsid w:val="7E7B9698"/>
    <w:rsid w:val="7E7C7B82"/>
    <w:rsid w:val="7E941F8F"/>
    <w:rsid w:val="7EA81185"/>
    <w:rsid w:val="7EB663A9"/>
    <w:rsid w:val="7EBF3B5D"/>
    <w:rsid w:val="7EC87E8B"/>
    <w:rsid w:val="7F4C3C08"/>
    <w:rsid w:val="7F6F8550"/>
    <w:rsid w:val="7F853FCE"/>
    <w:rsid w:val="7F947136"/>
    <w:rsid w:val="7FBF4A49"/>
    <w:rsid w:val="7FDB2365"/>
    <w:rsid w:val="7FDF9F3D"/>
    <w:rsid w:val="7FEBDDAD"/>
    <w:rsid w:val="7FFA7E05"/>
    <w:rsid w:val="7FFFBB26"/>
    <w:rsid w:val="94FF2E67"/>
    <w:rsid w:val="9D654C50"/>
    <w:rsid w:val="9DDF2B9D"/>
    <w:rsid w:val="9E6F9460"/>
    <w:rsid w:val="9FDE805E"/>
    <w:rsid w:val="A32FAE78"/>
    <w:rsid w:val="AEFF837A"/>
    <w:rsid w:val="AF62305B"/>
    <w:rsid w:val="AFDFD9DC"/>
    <w:rsid w:val="B15BD877"/>
    <w:rsid w:val="B7535FAF"/>
    <w:rsid w:val="B7BFC5C3"/>
    <w:rsid w:val="BCCBA616"/>
    <w:rsid w:val="BDFBC4B6"/>
    <w:rsid w:val="BE5EA6C1"/>
    <w:rsid w:val="BFF8F6C2"/>
    <w:rsid w:val="BFFDD446"/>
    <w:rsid w:val="D3CB980D"/>
    <w:rsid w:val="DA5F6637"/>
    <w:rsid w:val="DAFF14EF"/>
    <w:rsid w:val="DB606B89"/>
    <w:rsid w:val="DDE637E0"/>
    <w:rsid w:val="DEFD59C8"/>
    <w:rsid w:val="E7FF7416"/>
    <w:rsid w:val="EAFF4D47"/>
    <w:rsid w:val="ED5F7164"/>
    <w:rsid w:val="ED9C30FD"/>
    <w:rsid w:val="EDFFAC6D"/>
    <w:rsid w:val="EF6DB4CD"/>
    <w:rsid w:val="F2FF7003"/>
    <w:rsid w:val="F36E8DB3"/>
    <w:rsid w:val="F4F6FEEE"/>
    <w:rsid w:val="F58F2538"/>
    <w:rsid w:val="F5BF3C1E"/>
    <w:rsid w:val="F5FFE033"/>
    <w:rsid w:val="F6AC10D7"/>
    <w:rsid w:val="F7B29A16"/>
    <w:rsid w:val="F7FBDE13"/>
    <w:rsid w:val="F86B2791"/>
    <w:rsid w:val="F93CA6E0"/>
    <w:rsid w:val="F9AF0D4D"/>
    <w:rsid w:val="FA7F7C53"/>
    <w:rsid w:val="FB2B1760"/>
    <w:rsid w:val="FB6F1D3D"/>
    <w:rsid w:val="FBFF9447"/>
    <w:rsid w:val="FCF581C7"/>
    <w:rsid w:val="FD5D8125"/>
    <w:rsid w:val="FDCFD976"/>
    <w:rsid w:val="FDFE90B2"/>
    <w:rsid w:val="FDFECD3C"/>
    <w:rsid w:val="FDFF3546"/>
    <w:rsid w:val="FECD8BE9"/>
    <w:rsid w:val="FED3376B"/>
    <w:rsid w:val="FED4A1A7"/>
    <w:rsid w:val="FEEE4767"/>
    <w:rsid w:val="FEFB6071"/>
    <w:rsid w:val="FF38209A"/>
    <w:rsid w:val="FF6B3C32"/>
    <w:rsid w:val="FF6E11CA"/>
    <w:rsid w:val="FF7C89C3"/>
    <w:rsid w:val="FF8A4292"/>
    <w:rsid w:val="FFF20029"/>
    <w:rsid w:val="FFF77F83"/>
    <w:rsid w:val="FFF8B920"/>
    <w:rsid w:val="FFFAF934"/>
    <w:rsid w:val="FFFD5E41"/>
    <w:rsid w:val="FFFD8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overflowPunct w:val="0"/>
      <w:adjustRightInd w:val="0"/>
      <w:snapToGrid w:val="0"/>
      <w:spacing w:line="600" w:lineRule="exact"/>
      <w:ind w:firstLine="880" w:firstLineChars="200"/>
      <w:jc w:val="both"/>
    </w:pPr>
    <w:rPr>
      <w:rFonts w:ascii="仿宋_GB2312" w:hAnsi="仿宋_GB2312" w:eastAsia="仿宋_GB2312" w:cs="仿宋_GB2312"/>
      <w:sz w:val="32"/>
      <w:szCs w:val="22"/>
      <w:lang w:val="en-US" w:eastAsia="zh-CN" w:bidi="ar-SA"/>
    </w:rPr>
  </w:style>
  <w:style w:type="paragraph" w:styleId="2">
    <w:name w:val="heading 1"/>
    <w:basedOn w:val="1"/>
    <w:next w:val="1"/>
    <w:link w:val="27"/>
    <w:qFormat/>
    <w:uiPriority w:val="0"/>
    <w:pPr>
      <w:keepNext w:val="0"/>
      <w:keepLines w:val="0"/>
      <w:spacing w:beforeLines="0" w:beforeAutospacing="0" w:afterLines="0" w:afterAutospacing="0" w:line="600" w:lineRule="exact"/>
      <w:outlineLvl w:val="0"/>
    </w:pPr>
    <w:rPr>
      <w:rFonts w:eastAsia="黑体"/>
      <w:kern w:val="44"/>
      <w:sz w:val="32"/>
    </w:rPr>
  </w:style>
  <w:style w:type="paragraph" w:styleId="3">
    <w:name w:val="heading 2"/>
    <w:basedOn w:val="1"/>
    <w:next w:val="1"/>
    <w:link w:val="28"/>
    <w:unhideWhenUsed/>
    <w:qFormat/>
    <w:uiPriority w:val="0"/>
    <w:pPr>
      <w:keepNext w:val="0"/>
      <w:keepLines w:val="0"/>
      <w:spacing w:beforeLines="0" w:beforeAutospacing="0" w:afterLines="0" w:afterAutospacing="0" w:line="600" w:lineRule="exact"/>
      <w:outlineLvl w:val="1"/>
    </w:pPr>
    <w:rPr>
      <w:rFonts w:ascii="Arial" w:hAnsi="Arial" w:eastAsia="楷体_GB2312"/>
    </w:rPr>
  </w:style>
  <w:style w:type="paragraph" w:styleId="4">
    <w:name w:val="heading 3"/>
    <w:basedOn w:val="1"/>
    <w:next w:val="1"/>
    <w:link w:val="29"/>
    <w:unhideWhenUsed/>
    <w:qFormat/>
    <w:uiPriority w:val="0"/>
    <w:pPr>
      <w:keepNext w:val="0"/>
      <w:keepLines w:val="0"/>
      <w:spacing w:beforeLines="0" w:beforeAutospacing="0" w:afterLines="0" w:afterAutospacing="0" w:line="600" w:lineRule="exact"/>
      <w:jc w:val="both"/>
      <w:outlineLvl w:val="2"/>
    </w:p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0"/>
    <w:pPr>
      <w:spacing w:after="120" w:afterLines="0" w:afterAutospacing="0"/>
    </w:pPr>
  </w:style>
  <w:style w:type="paragraph" w:styleId="7">
    <w:name w:val="Body Text Indent"/>
    <w:basedOn w:val="1"/>
    <w:next w:val="8"/>
    <w:qFormat/>
    <w:uiPriority w:val="99"/>
    <w:pPr>
      <w:spacing w:after="120"/>
      <w:ind w:left="420" w:leftChars="200"/>
    </w:pPr>
    <w:rPr>
      <w:rFonts w:eastAsia="宋体"/>
      <w:sz w:val="21"/>
    </w:rPr>
  </w:style>
  <w:style w:type="paragraph" w:styleId="8">
    <w:name w:val="Body Text First Indent 2"/>
    <w:basedOn w:val="7"/>
    <w:qFormat/>
    <w:uiPriority w:val="99"/>
    <w:pPr>
      <w:ind w:firstLine="420"/>
    </w:pPr>
    <w:rPr>
      <w:szCs w:val="22"/>
    </w:rPr>
  </w:style>
  <w:style w:type="paragraph" w:styleId="9">
    <w:name w:val="toc 3"/>
    <w:basedOn w:val="1"/>
    <w:next w:val="1"/>
    <w:qFormat/>
    <w:uiPriority w:val="0"/>
    <w:pPr>
      <w:ind w:left="840" w:leftChars="4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next w:val="1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2">
    <w:name w:val="样式5"/>
    <w:basedOn w:val="13"/>
    <w:qFormat/>
    <w:uiPriority w:val="0"/>
    <w:pPr>
      <w:snapToGrid w:val="0"/>
      <w:spacing w:line="360" w:lineRule="auto"/>
      <w:ind w:firstLine="510"/>
    </w:pPr>
  </w:style>
  <w:style w:type="paragraph" w:customStyle="1" w:styleId="13">
    <w:name w:val="正文1"/>
    <w:basedOn w:val="1"/>
    <w:qFormat/>
    <w:uiPriority w:val="0"/>
    <w:pPr>
      <w:spacing w:before="78" w:beforeLines="25" w:after="78" w:afterLines="25"/>
      <w:jc w:val="center"/>
    </w:pPr>
    <w:rPr>
      <w:rFonts w:ascii="宋体" w:hAnsi="宋体" w:cs="宋体"/>
      <w:b/>
      <w:sz w:val="24"/>
    </w:rPr>
  </w:style>
  <w:style w:type="paragraph" w:styleId="14">
    <w:name w:val="toc 1"/>
    <w:basedOn w:val="1"/>
    <w:next w:val="1"/>
    <w:qFormat/>
    <w:uiPriority w:val="0"/>
  </w:style>
  <w:style w:type="paragraph" w:styleId="15">
    <w:name w:val="toc 2"/>
    <w:basedOn w:val="1"/>
    <w:next w:val="1"/>
    <w:qFormat/>
    <w:uiPriority w:val="39"/>
    <w:pPr>
      <w:widowControl w:val="0"/>
      <w:tabs>
        <w:tab w:val="right" w:leader="dot" w:pos="8777"/>
      </w:tabs>
      <w:spacing w:line="400" w:lineRule="exact"/>
      <w:ind w:left="-181" w:firstLine="880" w:firstLineChars="200"/>
      <w:jc w:val="both"/>
    </w:pPr>
    <w:rPr>
      <w:rFonts w:ascii="Calibri" w:hAnsi="Calibri" w:eastAsia="楷体_GB2312" w:cs="Times New Roman"/>
      <w:smallCaps/>
      <w:kern w:val="2"/>
      <w:szCs w:val="30"/>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Body Text First Indent"/>
    <w:basedOn w:val="6"/>
    <w:next w:val="1"/>
    <w:qFormat/>
    <w:uiPriority w:val="0"/>
    <w:pPr>
      <w:ind w:firstLine="420" w:firstLineChars="100"/>
    </w:pPr>
    <w:rPr>
      <w:rFonts w:ascii="Calibri" w:hAnsi="Calibri" w:eastAsia="宋体" w:cs="Times New Roman"/>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Emphasis"/>
    <w:basedOn w:val="20"/>
    <w:qFormat/>
    <w:uiPriority w:val="0"/>
    <w:rPr>
      <w:i/>
    </w:rPr>
  </w:style>
  <w:style w:type="character" w:styleId="23">
    <w:name w:val="Hyperlink"/>
    <w:basedOn w:val="20"/>
    <w:qFormat/>
    <w:uiPriority w:val="0"/>
    <w:rPr>
      <w:color w:val="0000FF"/>
      <w:u w:val="single"/>
    </w:rPr>
  </w:style>
  <w:style w:type="paragraph" w:customStyle="1" w:styleId="24">
    <w:name w:val="常用正文"/>
    <w:basedOn w:val="1"/>
    <w:qFormat/>
    <w:uiPriority w:val="0"/>
    <w:pPr>
      <w:wordWrap w:val="0"/>
      <w:overflowPunct w:val="0"/>
      <w:spacing w:line="600" w:lineRule="exact"/>
      <w:ind w:firstLine="880" w:firstLineChars="200"/>
    </w:pPr>
    <w:rPr>
      <w:rFonts w:eastAsia="仿宋_GB2312" w:asciiTheme="minorAscii" w:hAnsiTheme="minorAscii"/>
      <w:kern w:val="2"/>
      <w:sz w:val="32"/>
    </w:rPr>
  </w:style>
  <w:style w:type="paragraph" w:customStyle="1" w:styleId="25">
    <w:name w:val="题目"/>
    <w:basedOn w:val="1"/>
    <w:next w:val="1"/>
    <w:qFormat/>
    <w:uiPriority w:val="0"/>
    <w:pPr>
      <w:wordWrap w:val="0"/>
      <w:ind w:firstLine="0" w:firstLineChars="0"/>
      <w:jc w:val="center"/>
    </w:pPr>
    <w:rPr>
      <w:rFonts w:eastAsia="方正小标宋简体"/>
      <w:sz w:val="44"/>
    </w:rPr>
  </w:style>
  <w:style w:type="paragraph" w:customStyle="1" w:styleId="26">
    <w:name w:val="图"/>
    <w:basedOn w:val="1"/>
    <w:qFormat/>
    <w:uiPriority w:val="0"/>
    <w:pPr>
      <w:spacing w:line="240" w:lineRule="auto"/>
      <w:ind w:firstLine="0" w:firstLineChars="0"/>
      <w:jc w:val="center"/>
    </w:pPr>
    <w:rPr>
      <w:rFonts w:eastAsia="楷体_GB2312"/>
      <w:sz w:val="28"/>
    </w:rPr>
  </w:style>
  <w:style w:type="character" w:customStyle="1" w:styleId="27">
    <w:name w:val="标题 1 Char"/>
    <w:link w:val="2"/>
    <w:qFormat/>
    <w:uiPriority w:val="0"/>
    <w:rPr>
      <w:rFonts w:eastAsia="黑体"/>
      <w:kern w:val="44"/>
      <w:sz w:val="32"/>
    </w:rPr>
  </w:style>
  <w:style w:type="character" w:customStyle="1" w:styleId="28">
    <w:name w:val="标题 2 Char"/>
    <w:link w:val="3"/>
    <w:qFormat/>
    <w:uiPriority w:val="0"/>
    <w:rPr>
      <w:rFonts w:ascii="Arial" w:hAnsi="Arial" w:eastAsia="楷体_GB2312"/>
    </w:rPr>
  </w:style>
  <w:style w:type="character" w:customStyle="1" w:styleId="29">
    <w:name w:val="标题 3 Char"/>
    <w:link w:val="4"/>
    <w:qFormat/>
    <w:uiPriority w:val="0"/>
    <w:rPr>
      <w:rFonts w:ascii="仿宋_GB2312" w:hAnsi="仿宋_GB2312" w:eastAsia="仿宋_GB2312" w:cs="仿宋_GB2312"/>
    </w:rPr>
  </w:style>
  <w:style w:type="paragraph" w:customStyle="1" w:styleId="30">
    <w:name w:val="Table Text"/>
    <w:basedOn w:val="1"/>
    <w:semiHidden/>
    <w:qFormat/>
    <w:uiPriority w:val="0"/>
    <w:rPr>
      <w:rFonts w:ascii="宋体" w:hAnsi="宋体" w:eastAsia="宋体" w:cs="宋体"/>
      <w:sz w:val="24"/>
      <w:szCs w:val="24"/>
      <w:lang w:val="en-US" w:eastAsia="en-US" w:bidi="ar-SA"/>
    </w:rPr>
  </w:style>
  <w:style w:type="character" w:customStyle="1" w:styleId="31">
    <w:name w:val="font11"/>
    <w:qFormat/>
    <w:uiPriority w:val="0"/>
    <w:rPr>
      <w:rFonts w:hint="eastAsia" w:ascii="黑体" w:hAnsi="宋体" w:eastAsia="黑体" w:cs="黑体"/>
      <w:color w:val="000000"/>
      <w:sz w:val="21"/>
      <w:szCs w:val="21"/>
      <w:u w:val="none"/>
    </w:rPr>
  </w:style>
  <w:style w:type="paragraph" w:customStyle="1" w:styleId="32">
    <w:name w:val="Default"/>
    <w:qFormat/>
    <w:uiPriority w:val="0"/>
    <w:pPr>
      <w:widowControl w:val="0"/>
      <w:autoSpaceDE w:val="0"/>
      <w:autoSpaceDN w:val="0"/>
      <w:adjustRightInd w:val="0"/>
    </w:pPr>
    <w:rPr>
      <w:rFonts w:hint="eastAsia" w:ascii="文星仿宋..嬀." w:hAnsi="文星仿宋..嬀." w:eastAsia="文星仿宋..嬀." w:cs="Times New Roman"/>
      <w:color w:val="000000"/>
      <w:sz w:val="24"/>
      <w:szCs w:val="22"/>
      <w:lang w:val="en-US" w:eastAsia="zh-CN" w:bidi="ar-SA"/>
    </w:rPr>
  </w:style>
  <w:style w:type="paragraph" w:styleId="33">
    <w:name w:val="List Paragraph"/>
    <w:basedOn w:val="1"/>
    <w:qFormat/>
    <w:uiPriority w:val="1"/>
    <w:pPr>
      <w:ind w:left="166" w:right="271" w:firstLine="561"/>
    </w:pPr>
    <w:rPr>
      <w:rFonts w:ascii="楷体_GB2312" w:hAnsi="楷体_GB2312" w:eastAsia="楷体_GB2312" w:cs="楷体_GB2312"/>
      <w:lang w:val="en-US" w:eastAsia="zh-CN" w:bidi="ar-SA"/>
    </w:rPr>
  </w:style>
  <w:style w:type="character" w:customStyle="1" w:styleId="34">
    <w:name w:val="font51"/>
    <w:basedOn w:val="20"/>
    <w:qFormat/>
    <w:uiPriority w:val="0"/>
    <w:rPr>
      <w:rFonts w:hint="eastAsia" w:ascii="楷体_GB2312" w:eastAsia="楷体_GB2312" w:cs="楷体_GB2312"/>
      <w:b/>
      <w:bCs/>
      <w:color w:val="000000"/>
      <w:sz w:val="24"/>
      <w:szCs w:val="24"/>
      <w:u w:val="none"/>
    </w:rPr>
  </w:style>
  <w:style w:type="character" w:customStyle="1" w:styleId="35">
    <w:name w:val="font41"/>
    <w:basedOn w:val="20"/>
    <w:qFormat/>
    <w:uiPriority w:val="0"/>
    <w:rPr>
      <w:rFonts w:hint="eastAsia" w:ascii="楷体_GB2312" w:eastAsia="楷体_GB2312" w:cs="楷体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72dd7795-6d6b-4d16-885b-10a73e416b81</errorID>
      <errorWord>开启全面建设社会主义现代化新征程</errorWord>
      <group>L1_Political</group>
      <groupName>政治性问题</groupName>
      <ability>L2_Keyword</ability>
      <abilityName>固定表述</abilityName>
      <candidateList>
        <item>开启全面建设社会主义现代化国家新征程</item>
      </candidateList>
      <explain>词汇“开启全面建设社会主义现代化国家新征程”在特定场景下为固定表述形式，请确认此处的“开启全面建设社会主义现代化新征程”是否存在不当。</explain>
      <paraID> 2E83118</paraID>
      <start>5</start>
      <end>21</end>
      <status>ignored</status>
      <modifiedWord/>
      <trackRevisions>false</trackRevisions>
    </reviewItem>
    <reviewItem>
      <errorID>7d4bf38e-34b2-4c51-9f68-15f725b42f26</errorID>
      <errorWord>回河</errorWord>
      <group>L1_Word</group>
      <groupName>字词问题</groupName>
      <ability>L2_Typo</ability>
      <abilityName>字词错误</abilityName>
      <candidateList>
        <item>淮河</item>
      </candidateList>
      <explain/>
      <paraID>1C6E344D</paraID>
      <start>87</start>
      <end>89</end>
      <status>ignored</status>
      <modifiedWord/>
      <trackRevisions>false</trackRevisions>
    </reviewItem>
    <reviewItem>
      <errorID>e6d2517a-7180-4326-8b63-3cd2e785b69d</errorID>
      <errorWord>的政府干</errorWord>
      <group>L1_Sensitive</group>
      <groupName>敏感问题</groupName>
      <ability>L2_Sensitive</ability>
      <abilityName>敏感内容</abilityName>
      <candidateList/>
      <explain>【敏感内容】句中涉及敏感性内容的违规表述，请注意甄别。</explain>
      <paraID>3FF6A6E9</paraID>
      <start>99</start>
      <end>103</end>
      <status>ignored</status>
      <modifiedWord/>
      <trackRevisions>false</trackRevisions>
    </reviewItem>
    <reviewItem>
      <errorID>132bd89c-1189-4c49-9f0c-c2bd145edb88</errorID>
      <errorWord>同构</errorWord>
      <group>L1_Word</group>
      <groupName>字词问题</groupName>
      <ability>L2_Typo</ability>
      <abilityName>字词错误</abilityName>
      <candidateList>
        <item>通沟</item>
      </candidateList>
      <explain/>
      <paraID>1449D156</paraID>
      <start>237</start>
      <end>239</end>
      <status>ignored</status>
      <modifiedWord/>
      <trackRevisions>false</trackRevisions>
    </reviewItem>
    <reviewItem>
      <errorID>2ccfbf74-268d-4a19-b4d2-21b6312b1b5e</errorID>
      <errorWord>才</errorWord>
      <group>L1_Word</group>
      <groupName>字词问题</groupName>
      <ability>L2_Typo</ability>
      <abilityName>字词错误</abilityName>
      <candidateList>
        <item>才和</item>
      </candidateList>
      <explain/>
      <paraID>1449D156</paraID>
      <start>267</start>
      <end>268</end>
      <status>ignored</status>
      <modifiedWord/>
      <trackRevisions>false</trackRevisions>
    </reviewItem>
    <reviewItem>
      <errorID>2e4c71da-bd3c-4ae2-b58e-f2d1923b2072</errorID>
      <errorWord>台湾地区</errorWord>
      <group>L1_Word</group>
      <groupName>字词问题</groupName>
      <ability>L2_Typo</ability>
      <abilityName>字词错误</abilityName>
      <candidateList>
        <item>中国台湾地区</item>
      </candidateList>
      <explain/>
      <paraID> 3D32E03</paraID>
      <start>84</start>
      <end>88</end>
      <status>ignored</status>
      <modifiedWord/>
      <trackRevisions>false</trackRevisions>
    </reviewItem>
    <reviewItem>
      <errorID>dd61f87f-5385-47f4-9463-73922cbbe18b</errorID>
      <errorWord>闻韶</errorWord>
      <group>L1_Word</group>
      <groupName>字词问题</groupName>
      <ability>L2_Typo</ability>
      <abilityName>字词错误</abilityName>
      <candidateList>
        <item>仰韶</item>
      </candidateList>
      <explain/>
      <paraID>3A908F53</paraID>
      <start>85</start>
      <end>87</end>
      <status>ignored</status>
      <modifiedWord/>
      <trackRevisions>false</trackRevisions>
    </reviewItem>
    <reviewItem>
      <errorID>2ee43f5a-a602-48e3-b8e0-c234c8b13def</errorID>
      <errorWord>经济实力、科技实力、综合竞争力</errorWord>
      <group>L1_Political</group>
      <groupName>政治性问题</groupName>
      <ability>L2_Keyword</ability>
      <abilityName>固定表述</abilityName>
      <candidateList>
        <item>经济实力、科技实力、综合国力</item>
      </candidateList>
      <explain>词汇“经济实力、科技实力、综合国力”在特定场景下为固定表述形式，请确认此处的“经济实力、科技实力、综合竞争力”是否存在不当。</explain>
      <paraID>452D7A26</paraID>
      <start>17</start>
      <end>32</end>
      <status>ignored</status>
      <modifiedWord/>
      <trackRevisions>false</trackRevisions>
    </reviewItem>
    <reviewItem>
      <errorID>1af45374-2829-4b93-9eb6-624a00bc5056</errorID>
      <errorWord>一二三产深度融合</errorWord>
      <group>L1_Political</group>
      <groupName>政治性问题</groupName>
      <ability>L2_Keyword</ability>
      <abilityName>固定表述</abilityName>
      <candidateList>
        <item>一二三产业融合</item>
      </candidateList>
      <explain>词汇“一二三产业融合”在特定场景下为固定表述形式，请确认此处的“一二三产深度融合”是否存在不当。</explain>
      <paraID> 8D7A42B</paraID>
      <start>30</start>
      <end>38</end>
      <status>ignored</status>
      <modifiedWord/>
      <trackRevisions>false</trackRevisions>
    </reviewItem>
    <reviewItem>
      <errorID>3fc8b5a6-7211-4289-9a05-21f869c87f3c</errorID>
      <errorWord>台湾地区</errorWord>
      <group>L1_Word</group>
      <groupName>字词问题</groupName>
      <ability>L2_Typo</ability>
      <abilityName>字词错误</abilityName>
      <candidateList>
        <item>中国台湾地区</item>
      </candidateList>
      <explain/>
      <paraID> 8D7A42B</paraID>
      <start>43</start>
      <end>47</end>
      <status>ignored</status>
      <modifiedWord/>
      <trackRevisions>false</trackRevisions>
    </reviewItem>
    <reviewItem>
      <errorID>e174c074-208d-4307-a248-0746a9e0235e</errorID>
      <errorWord>台湾地区</errorWord>
      <group>L1_Word</group>
      <groupName>字词问题</groupName>
      <ability>L2_Typo</ability>
      <abilityName>字词错误</abilityName>
      <candidateList>
        <item>中国台湾地区</item>
      </candidateList>
      <explain/>
      <paraID>4823EDF0</paraID>
      <start>13</start>
      <end>17</end>
      <status>ignored</status>
      <modifiedWord/>
      <trackRevisions>false</trackRevisions>
    </reviewItem>
    <reviewItem>
      <errorID>c7fd7a5c-0e6a-4ab4-8635-a1a617531415</errorID>
      <errorWord>一二三产融合</errorWord>
      <group>L1_Political</group>
      <groupName>政治性问题</groupName>
      <ability>L2_Keyword</ability>
      <abilityName>固定表述</abilityName>
      <candidateList>
        <item>一二三产业融合</item>
      </candidateList>
      <explain>词汇“一二三产业融合”在特定场景下为固定表述形式，请确认此处的“一二三产融合”是否存在不当。</explain>
      <paraID>4823EDF0</paraID>
      <start>55</start>
      <end>61</end>
      <status>ignored</status>
      <modifiedWord/>
      <trackRevisions>false</trackRevisions>
    </reviewItem>
    <reviewItem>
      <errorID>39758228-cc4b-471c-bc74-5f7ce037e631</errorID>
      <errorWord>台湾地区</errorWord>
      <group>L1_Word</group>
      <groupName>字词问题</groupName>
      <ability>L2_Typo</ability>
      <abilityName>字词错误</abilityName>
      <candidateList>
        <item>中国台湾地区</item>
      </candidateList>
      <explain/>
      <paraID>51E9686A</paraID>
      <start>24</start>
      <end>28</end>
      <status>ignored</status>
      <modifiedWord/>
      <trackRevisions>false</trackRevisions>
    </reviewItem>
    <reviewItem>
      <errorID>b074b4f7-4139-4fc6-859b-4d8791e8ecd0</errorID>
      <errorWord>台湾地区</errorWord>
      <group>L1_Word</group>
      <groupName>字词问题</groupName>
      <ability>L2_Typo</ability>
      <abilityName>字词错误</abilityName>
      <candidateList>
        <item>中国台湾地区</item>
      </candidateList>
      <explain/>
      <paraID>51E9686A</paraID>
      <start>85</start>
      <end>89</end>
      <status>ignored</status>
      <modifiedWord/>
      <trackRevisions>false</trackRevisions>
    </reviewItem>
    <reviewItem>
      <errorID>74cc054c-e3b1-41b7-bfc0-30638fc7529a</errorID>
      <errorWord>台湾地区</errorWord>
      <group>L1_Word</group>
      <groupName>字词问题</groupName>
      <ability>L2_Typo</ability>
      <abilityName>字词错误</abilityName>
      <candidateList>
        <item>中国台湾地区</item>
      </candidateList>
      <explain/>
      <paraID>51E9686A</paraID>
      <start>158</start>
      <end>162</end>
      <status>ignored</status>
      <modifiedWord/>
      <trackRevisions>false</trackRevisions>
    </reviewItem>
    <reviewItem>
      <errorID>e78f63d7-f1ce-4656-b617-98bd5660b969</errorID>
      <errorWord>台湾地区</errorWord>
      <group>L1_Word</group>
      <groupName>字词问题</groupName>
      <ability>L2_Typo</ability>
      <abilityName>字词错误</abilityName>
      <candidateList>
        <item>中国台湾地区</item>
      </candidateList>
      <explain/>
      <paraID>15FA94E5</paraID>
      <start>27</start>
      <end>31</end>
      <status>ignored</status>
      <modifiedWord/>
      <trackRevisions>false</trackRevisions>
    </reviewItem>
    <reviewItem>
      <errorID>6eefad5a-07f8-4de7-a66d-37a7ba505486</errorID>
      <errorWord>数贸港</errorWord>
      <group>L1_Word</group>
      <groupName>字词问题</groupName>
      <ability>L2_Typo</ability>
      <abilityName>字词错误</abilityName>
      <candidateList>
        <item>自贸港</item>
      </candidateList>
      <explain/>
      <paraID>2B41D754</paraID>
      <start>62</start>
      <end>65</end>
      <status>ignored</status>
      <modifiedWord/>
      <trackRevisions>false</trackRevisions>
    </reviewItem>
    <reviewItem>
      <errorID>aa2a6ed2-9d76-49a3-aba5-d41bef187570</errorID>
      <errorWord>关键共性技术攻关</errorWord>
      <group>L1_Political</group>
      <groupName>政治性问题</groupName>
      <ability>L2_Keyword</ability>
      <abilityName>固定表述</abilityName>
      <candidateList>
        <item>关键核心技术攻关</item>
      </candidateList>
      <explain>词汇“关键核心技术攻关”在特定场景下为固定表述形式，请确认此处的“关键共性技术攻关”是否存在不当。</explain>
      <paraID>6936184D</paraID>
      <start>54</start>
      <end>62</end>
      <status>ignored</status>
      <modifiedWord/>
      <trackRevisions>false</trackRevisions>
    </reviewItem>
    <reviewItem>
      <errorID>6965b1de-40ab-4969-bb33-a48da6c124ca</errorID>
      <errorWord>、和</errorWord>
      <group>L1_Punc</group>
      <groupName>标点问题</groupName>
      <ability>L2_Punc</ability>
      <abilityName>标点符号检查</abilityName>
      <candidateList>
        <item>和</item>
      </candidateList>
      <explain>“及”“和”“等”连词前不宜使用顿号，建议删除（或使用逗号）。</explain>
      <paraID>383BC927</paraID>
      <start>27</start>
      <end>29</end>
      <status>ignored</status>
      <modifiedWord/>
      <trackRevisions>false</trackRevisions>
    </reviewItem>
    <reviewItem>
      <errorID>e57d17f5-3e43-4521-9340-c9a7fd47336d</errorID>
      <errorWord>种养殖</errorWord>
      <group>L1_Word</group>
      <groupName>字词问题</groupName>
      <ability>L2_Typo</ability>
      <abilityName>字词错误</abilityName>
      <candidateList>
        <item>种植养殖</item>
      </candidateList>
      <explain/>
      <paraID>74DF4DEF</paraID>
      <start>91</start>
      <end>94</end>
      <status>ignored</status>
      <modifiedWord/>
      <trackRevisions>false</trackRevisions>
    </reviewItem>
    <reviewItem>
      <errorID>a0e365e7-40f7-48e4-ba15-7b895c1da5d9</errorID>
      <errorWord>种养殖</errorWord>
      <group>L1_Word</group>
      <groupName>字词问题</groupName>
      <ability>L2_Typo</ability>
      <abilityName>字词错误</abilityName>
      <candidateList>
        <item>种植养殖</item>
      </candidateList>
      <explain/>
      <paraID>735DDFFA</paraID>
      <start>299</start>
      <end>302</end>
      <status>ignored</status>
      <modifiedWord/>
      <trackRevisions>false</trackRevisions>
    </reviewItem>
    <reviewItem>
      <errorID>809f9860-fdda-4780-9fba-fc3db448fd82</errorID>
      <errorWord>台湾地区</errorWord>
      <group>L1_Word</group>
      <groupName>字词问题</groupName>
      <ability>L2_Typo</ability>
      <abilityName>字词错误</abilityName>
      <candidateList>
        <item>中国台湾地区</item>
      </candidateList>
      <explain/>
      <paraID>28CA61E7</paraID>
      <start>131</start>
      <end>135</end>
      <status>ignored</status>
      <modifiedWord/>
      <trackRevisions>false</trackRevisions>
    </reviewItem>
    <reviewItem>
      <errorID>3c4c4c62-70cd-4c77-af1f-210c694b5cd2</errorID>
      <errorWord>种养殖</errorWord>
      <group>L1_Word</group>
      <groupName>字词问题</groupName>
      <ability>L2_Typo</ability>
      <abilityName>字词错误</abilityName>
      <candidateList>
        <item>种植养殖</item>
      </candidateList>
      <explain/>
      <paraID>663D47DD</paraID>
      <start>61</start>
      <end>64</end>
      <status>ignored</status>
      <modifiedWord/>
      <trackRevisions>false</trackRevisions>
    </reviewItem>
    <reviewItem>
      <errorID>439ac7bf-2646-4faf-9301-d1e3a632348e</errorID>
      <errorWord>、和</errorWord>
      <group>L1_Punc</group>
      <groupName>标点问题</groupName>
      <ability>L2_Punc</ability>
      <abilityName>标点符号检查</abilityName>
      <candidateList>
        <item>和</item>
      </candidateList>
      <explain>“及”“和”“等”连词前不宜使用顿号，建议删除（或使用逗号）。</explain>
      <paraID>7FD29ACB</paraID>
      <start>85</start>
      <end>87</end>
      <status>ignored</status>
      <modifiedWord/>
      <trackRevisions>false</trackRevisions>
    </reviewItem>
    <reviewItem>
      <errorID>e45475af-990e-4d59-b82a-c6279eef57d0</errorID>
      <errorWord>班线</errorWord>
      <group>L1_Word</group>
      <groupName>字词问题</groupName>
      <ability>L2_Typo</ability>
      <abilityName>字词错误</abilityName>
      <candidateList>
        <item>干线</item>
      </candidateList>
      <explain/>
      <paraID>7DFF044C</paraID>
      <start>39</start>
      <end>41</end>
      <status>ignored</status>
      <modifiedWord/>
      <trackRevisions>false</trackRevisions>
    </reviewItem>
    <reviewItem>
      <errorID>425105a2-0b73-4e94-a53a-acf9c2b25c95</errorID>
      <errorWord>、和</errorWord>
      <group>L1_Punc</group>
      <groupName>标点问题</groupName>
      <ability>L2_Punc</ability>
      <abilityName>标点符号检查</abilityName>
      <candidateList>
        <item>和</item>
      </candidateList>
      <explain>“及”“和”“等”连词前不宜使用顿号，建议删除（或使用逗号）。</explain>
      <paraID>15B5FEFB</paraID>
      <start>271</start>
      <end>273</end>
      <status>ignored</status>
      <modifiedWord/>
      <trackRevisions>false</trackRevisions>
    </reviewItem>
    <reviewItem>
      <errorID>5ea846c0-8ec5-4e9d-be78-2065e7d18ee2</errorID>
      <errorWord>商业高质量发展</errorWord>
      <group>L1_Political</group>
      <groupName>政治性问题</groupName>
      <ability>L2_Keyword</ability>
      <abilityName>固定表述</abilityName>
      <candidateList>
        <item>经济高质量发展</item>
      </candidateList>
      <explain>词汇“经济高质量发展”在特定场景下为固定表述形式，请确认此处的“商业高质量发展”是否存在不当。</explain>
      <paraID> 50A2F9F</paraID>
      <start>74</start>
      <end>81</end>
      <status>ignored</status>
      <modifiedWord/>
      <trackRevisions>false</trackRevisions>
    </reviewItem>
    <reviewItem>
      <errorID>8c4edbb0-698c-49a5-a4ce-eb95a805bf40</errorID>
      <errorWord>、</errorWord>
      <group>L1_Word</group>
      <groupName>字词问题</groupName>
      <ability>L2_Typo</ability>
      <abilityName>字词错误</abilityName>
      <candidateList>
        <item>、以</item>
      </candidateList>
      <explain/>
      <paraID>76D046DC</paraID>
      <start>29</start>
      <end>30</end>
      <status>ignored</status>
      <modifiedWord/>
      <trackRevisions>false</trackRevisions>
    </reviewItem>
    <reviewItem>
      <errorID>19e28eaa-9f1d-42a6-8e71-0d25322f8fbc</errorID>
      <errorWord>预算与绩效管理</errorWord>
      <group>L1_Political</group>
      <groupName>政治性问题</groupName>
      <ability>L2_Keyword</ability>
      <abilityName>固定表述</abilityName>
      <candidateList>
        <item>预算绩效管理</item>
      </candidateList>
      <explain>词汇“预算绩效管理”在特定场景下为固定表述形式，请确认此处的“预算与绩效管理”是否存在不当。</explain>
      <paraID>15CC2EC9</paraID>
      <start>100</start>
      <end>107</end>
      <status>ignored</status>
      <modifiedWord/>
      <trackRevisions>false</trackRevisions>
    </reviewItem>
    <reviewItem>
      <errorID>a6ecb837-bd24-480a-8194-77e5ff481209</errorID>
      <errorWord>基金总</errorWord>
      <group>L1_Word</group>
      <groupName>字词问题</groupName>
      <ability>L2_Typo</ability>
      <abilityName>字词错误</abilityName>
      <candidateList>
        <item>基金</item>
      </candidateList>
      <explain/>
      <paraID>1A968BDF</paraID>
      <start>210</start>
      <end>213</end>
      <status>ignored</status>
      <modifiedWord/>
      <trackRevisions>false</trackRevisions>
    </reviewItem>
    <reviewItem>
      <errorID>1cdc36d3-0f86-4bf2-8b05-4bc0d8dcb5db</errorID>
      <errorWord>务</errorWord>
      <group>L1_Word</group>
      <groupName>字词问题</groupName>
      <ability>L2_Typo</ability>
      <abilityName>字词错误</abilityName>
      <candidateList>
        <item>务民</item>
      </candidateList>
      <explain/>
      <paraID>544EDD6B</paraID>
      <start>96</start>
      <end>97</end>
      <status>ignored</status>
      <modifiedWord/>
      <trackRevisions>false</trackRevisions>
    </reviewItem>
    <reviewItem>
      <errorID>caa942db-480e-4472-80f6-7863617ab444</errorID>
      <errorWord>的政府干</errorWord>
      <group>L1_Sensitive</group>
      <groupName>敏感问题</groupName>
      <ability>L2_Sensitive</ability>
      <abilityName>敏感内容</abilityName>
      <candidateList/>
      <explain>【敏感内容】句中涉及敏感性内容的违规表述，请注意甄别。</explain>
      <paraID>544EDD6B</paraID>
      <start>108</start>
      <end>112</end>
      <status>ignored</status>
      <modifiedWord/>
      <trackRevisions>false</trackRevisions>
    </reviewItem>
    <reviewItem>
      <errorID>bb04fcde-9327-47a4-bfc7-05b27d757277</errorID>
      <errorWord>、宅</errorWord>
      <group>L1_Word</group>
      <groupName>字词问题</groupName>
      <ability>L2_Typo</ability>
      <abilityName>字词错误</abilityName>
      <candidateList>
        <item>、</item>
      </candidateList>
      <explain/>
      <paraID> E14AE36</paraID>
      <start>88</start>
      <end>90</end>
      <status>ignored</status>
      <modifiedWord/>
      <trackRevisions>false</trackRevisions>
    </reviewItem>
    <reviewItem>
      <errorID>1d158a73-2f7c-48ab-84a2-4f7a7ff93148</errorID>
      <errorWord>闻韶</errorWord>
      <group>L1_Word</group>
      <groupName>字词问题</groupName>
      <ability>L2_Typo</ability>
      <abilityName>字词错误</abilityName>
      <candidateList>
        <item>仰韶</item>
      </candidateList>
      <explain/>
      <paraID>424FEB76</paraID>
      <start>17</start>
      <end>19</end>
      <status>ignored</status>
      <modifiedWord/>
      <trackRevisions>false</trackRevisions>
    </reviewItem>
    <reviewItem>
      <errorID>1b9aa66d-b0b5-4909-ad3d-3e0fa6272fca</errorID>
      <errorWord>巩固脱贫攻坚成果</errorWord>
      <group>L1_Word</group>
      <groupName>字词问题</groupName>
      <ability>L2_Typo</ability>
      <abilityName>字词错误</abilityName>
      <candidateList>
        <item>巩固拓展脱贫攻坚成果</item>
      </candidateList>
      <explain/>
      <paraID>4B86BD3A</paraID>
      <start>124</start>
      <end>132</end>
      <status>ignored</status>
      <modifiedWord/>
      <trackRevisions>false</trackRevisions>
    </reviewItem>
    <reviewItem>
      <errorID>60f2e2c7-bcf2-478b-84c6-6a341423cb5a</errorID>
      <errorWord>坚持党的领导、人民当家作主、依法治区有机统一</errorWord>
      <group>L1_Political</group>
      <groupName>政治性问题</groupName>
      <ability>L2_Keyword</ability>
      <abilityName>固定表述</abilityName>
      <candidateList>
        <item>坚持党的领导、人民当家作主、依法治国有机统一</item>
      </candidateList>
      <explain>词汇“坚持党的领导、人民当家作主、依法治国有机统一”在特定场景下为固定表述形式，请确认此处的“坚持党的领导、人民当家作主、依法治区有机统一”是否存在不当。</explain>
      <paraID> 95C9D4C</paraID>
      <start>16</start>
      <end>38</end>
      <status>ignored</status>
      <modifiedWord/>
      <trackRevisions>false</trackRevisions>
    </reviewItem>
    <reviewItem>
      <errorID>86d3c3b7-4eb2-4b86-9b4b-ad5a25425925</errorID>
      <errorWord>坚持“人民城市人民建、人民城市为人民”</errorWord>
      <group>L1_Political</group>
      <groupName>政治性问题</groupName>
      <ability>L2_Keyword</ability>
      <abilityName>固定表述</abilityName>
      <candidateList>
        <item>坚持人民城市人民建、人民城市为人民</item>
      </candidateList>
      <explain>注意检查当前固定表述标点是否使用规范。</explain>
      <paraID>1D9CD838</paraID>
      <start>0</start>
      <end>19</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2032a1-9f55-4b33-8bca-b08ac0f8e9e7}">
  <ds:schemaRefs/>
</ds:datastoreItem>
</file>

<file path=docProps/app.xml><?xml version="1.0" encoding="utf-8"?>
<Properties xmlns="http://schemas.openxmlformats.org/officeDocument/2006/extended-properties" xmlns:vt="http://schemas.openxmlformats.org/officeDocument/2006/docPropsVTypes">
  <Template>Normal.dotm</Template>
  <Pages>126</Pages>
  <Words>11681</Words>
  <Characters>12099</Characters>
  <Lines>0</Lines>
  <Paragraphs>0</Paragraphs>
  <TotalTime>217</TotalTime>
  <ScaleCrop>false</ScaleCrop>
  <LinksUpToDate>false</LinksUpToDate>
  <CharactersWithSpaces>12388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2022-04-06T11:27:00Z</dcterms:created>
  <dc:creator>二部</dc:creator>
  <cp:lastModifiedBy>MR-孟想</cp:lastModifiedBy>
  <dcterms:modified xsi:type="dcterms:W3CDTF">2026-05-20T01:28:25Z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6AB596C5B0764EB3A953B4EE8CAF55FF_13</vt:lpwstr>
  </property>
  <property fmtid="{D5CDD505-2E9C-101B-9397-08002B2CF9AE}" pid="4" name="KSOTemplateDocerSaveRecord">
    <vt:lpwstr>eyJoZGlkIjoiMWJlNDRhOTk4ZWIzZTAzNjg0YmFkYjExNmM5OGFhYzQiLCJ1c2VySWQiOiIzMDg4NzA3MjYifQ==</vt:lpwstr>
  </property>
</Properties>
</file>